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96ED9C" w14:textId="073AD4FC" w:rsidR="00DA7ECF" w:rsidRPr="00EE1FC8" w:rsidRDefault="00B6055F" w:rsidP="00DA7ECF">
      <w:pPr>
        <w:rPr>
          <w:b/>
        </w:rPr>
      </w:pPr>
      <w:r w:rsidRPr="00EE1FC8">
        <w:rPr>
          <w:b/>
        </w:rPr>
        <w:t>Annex</w:t>
      </w:r>
      <w:r w:rsidR="00553393" w:rsidRPr="00EE1FC8">
        <w:rPr>
          <w:b/>
        </w:rPr>
        <w:t xml:space="preserve"> 1</w:t>
      </w:r>
      <w:r w:rsidRPr="00EE1FC8">
        <w:rPr>
          <w:b/>
        </w:rPr>
        <w:t xml:space="preserve">: </w:t>
      </w:r>
      <w:r w:rsidR="00DA7ECF" w:rsidRPr="00EE1FC8">
        <w:rPr>
          <w:b/>
        </w:rPr>
        <w:t xml:space="preserve">Expenditure Categories </w:t>
      </w:r>
    </w:p>
    <w:p w14:paraId="031B7E3A" w14:textId="50C621B4" w:rsidR="00DA7ECF" w:rsidRPr="00EE1FC8" w:rsidRDefault="00DA7ECF" w:rsidP="00DA7ECF">
      <w:pPr>
        <w:rPr>
          <w:b/>
        </w:rPr>
      </w:pPr>
    </w:p>
    <w:p w14:paraId="5AF2F0B4" w14:textId="02D53E29" w:rsidR="00DA7ECF" w:rsidRPr="00EE1FC8" w:rsidRDefault="00DA7ECF" w:rsidP="00DA7ECF">
      <w:pPr>
        <w:spacing w:after="200" w:line="276" w:lineRule="auto"/>
        <w:rPr>
          <w:rFonts w:eastAsia="Calibri" w:cs="Arial"/>
          <w:sz w:val="20"/>
        </w:rPr>
      </w:pPr>
      <w:r w:rsidRPr="00EE1FC8">
        <w:rPr>
          <w:rFonts w:eastAsia="Calibri" w:cs="Arial"/>
          <w:sz w:val="20"/>
        </w:rPr>
        <w:t>Project</w:t>
      </w:r>
      <w:r w:rsidR="00553393" w:rsidRPr="00EE1FC8">
        <w:rPr>
          <w:rFonts w:eastAsia="Calibri" w:cs="Arial"/>
          <w:sz w:val="20"/>
        </w:rPr>
        <w:t xml:space="preserve"> activities</w:t>
      </w:r>
      <w:r w:rsidRPr="00EE1FC8">
        <w:rPr>
          <w:rFonts w:eastAsia="Calibri" w:cs="Arial"/>
          <w:sz w:val="20"/>
        </w:rPr>
        <w:t xml:space="preserve"> </w:t>
      </w:r>
      <w:r w:rsidR="006E7442" w:rsidRPr="00EE1FC8">
        <w:rPr>
          <w:rFonts w:eastAsia="Calibri" w:cs="Arial"/>
          <w:sz w:val="20"/>
        </w:rPr>
        <w:t xml:space="preserve">shall </w:t>
      </w:r>
      <w:r w:rsidRPr="00EE1FC8">
        <w:rPr>
          <w:rFonts w:eastAsia="Calibri" w:cs="Arial"/>
          <w:sz w:val="20"/>
        </w:rPr>
        <w:t xml:space="preserve">address the gaps in the public health infrastructure </w:t>
      </w:r>
      <w:r w:rsidR="006E7442" w:rsidRPr="00EE1FC8">
        <w:rPr>
          <w:rFonts w:eastAsia="Calibri" w:cs="Arial"/>
          <w:sz w:val="20"/>
        </w:rPr>
        <w:t xml:space="preserve">and response capacity </w:t>
      </w:r>
      <w:r w:rsidRPr="00EE1FC8">
        <w:rPr>
          <w:rFonts w:eastAsia="Calibri" w:cs="Arial"/>
          <w:sz w:val="20"/>
        </w:rPr>
        <w:t>that is dealing with the epidemic</w:t>
      </w:r>
      <w:r w:rsidR="006E7442" w:rsidRPr="00EE1FC8">
        <w:rPr>
          <w:rFonts w:eastAsia="Calibri" w:cs="Arial"/>
          <w:sz w:val="20"/>
        </w:rPr>
        <w:t xml:space="preserve">. This comprises, </w:t>
      </w:r>
      <w:r w:rsidRPr="00EE1FC8">
        <w:rPr>
          <w:rFonts w:eastAsia="Calibri" w:cs="Arial"/>
          <w:sz w:val="20"/>
        </w:rPr>
        <w:t xml:space="preserve">but </w:t>
      </w:r>
      <w:r w:rsidR="006E7442" w:rsidRPr="00EE1FC8">
        <w:rPr>
          <w:rFonts w:eastAsia="Calibri" w:cs="Arial"/>
          <w:sz w:val="20"/>
        </w:rPr>
        <w:t xml:space="preserve">is </w:t>
      </w:r>
      <w:r w:rsidRPr="00EE1FC8">
        <w:rPr>
          <w:rFonts w:eastAsia="Calibri" w:cs="Arial"/>
          <w:sz w:val="20"/>
        </w:rPr>
        <w:t>not limited to, increas</w:t>
      </w:r>
      <w:r w:rsidR="006E7442" w:rsidRPr="00EE1FC8">
        <w:rPr>
          <w:rFonts w:eastAsia="Calibri" w:cs="Arial"/>
          <w:sz w:val="20"/>
        </w:rPr>
        <w:t>ing</w:t>
      </w:r>
      <w:r w:rsidRPr="00EE1FC8">
        <w:rPr>
          <w:rFonts w:eastAsia="Calibri" w:cs="Arial"/>
          <w:sz w:val="20"/>
        </w:rPr>
        <w:t xml:space="preserve"> intensive care unit capacity for </w:t>
      </w:r>
      <w:r w:rsidR="006E7442" w:rsidRPr="00EE1FC8">
        <w:rPr>
          <w:rFonts w:eastAsia="Calibri" w:cs="Arial"/>
          <w:sz w:val="20"/>
        </w:rPr>
        <w:t xml:space="preserve">COVID-19 </w:t>
      </w:r>
      <w:r w:rsidRPr="00EE1FC8">
        <w:rPr>
          <w:rFonts w:eastAsia="Calibri" w:cs="Arial"/>
          <w:sz w:val="20"/>
        </w:rPr>
        <w:t>patients, lab</w:t>
      </w:r>
      <w:r w:rsidR="006E7442" w:rsidRPr="00EE1FC8">
        <w:rPr>
          <w:rFonts w:eastAsia="Calibri" w:cs="Arial"/>
          <w:sz w:val="20"/>
        </w:rPr>
        <w:t>oratories</w:t>
      </w:r>
      <w:r w:rsidRPr="00EE1FC8">
        <w:rPr>
          <w:rFonts w:eastAsia="Calibri" w:cs="Arial"/>
          <w:sz w:val="20"/>
        </w:rPr>
        <w:t xml:space="preserve"> for testing, </w:t>
      </w:r>
      <w:r w:rsidR="006E7442" w:rsidRPr="00EE1FC8">
        <w:rPr>
          <w:rFonts w:eastAsia="Calibri" w:cs="Arial"/>
          <w:sz w:val="20"/>
        </w:rPr>
        <w:t xml:space="preserve">providing critical supplies, </w:t>
      </w:r>
      <w:r w:rsidRPr="00EE1FC8">
        <w:rPr>
          <w:rFonts w:eastAsia="Calibri" w:cs="Arial"/>
          <w:sz w:val="20"/>
        </w:rPr>
        <w:t xml:space="preserve">IT and other equipment and software for logistics, stockpiling, transport, surveillance, etc. The Promoter will present the list of schemes for the allocation to the satisfaction of the Bank, and an </w:t>
      </w:r>
      <w:r w:rsidR="006E7442" w:rsidRPr="00EE1FC8">
        <w:rPr>
          <w:rFonts w:eastAsia="Calibri" w:cs="Arial"/>
          <w:sz w:val="20"/>
        </w:rPr>
        <w:t xml:space="preserve">external/independent </w:t>
      </w:r>
      <w:r w:rsidRPr="00EE1FC8">
        <w:rPr>
          <w:rFonts w:eastAsia="Calibri" w:cs="Arial"/>
          <w:sz w:val="20"/>
        </w:rPr>
        <w:t>audited expenditure report at the end of implementation.</w:t>
      </w:r>
    </w:p>
    <w:p w14:paraId="38997FE7" w14:textId="77777777" w:rsidR="00DA7ECF" w:rsidRPr="00EE1FC8" w:rsidRDefault="00DA7ECF" w:rsidP="00DA7ECF">
      <w:pPr>
        <w:spacing w:after="200" w:line="276" w:lineRule="auto"/>
        <w:rPr>
          <w:rFonts w:eastAsia="Calibri" w:cs="Arial"/>
          <w:sz w:val="20"/>
        </w:rPr>
      </w:pPr>
      <w:r w:rsidRPr="00EE1FC8">
        <w:rPr>
          <w:rFonts w:eastAsia="Calibri" w:cs="Arial"/>
          <w:sz w:val="20"/>
        </w:rPr>
        <w:t xml:space="preserve">The loan will finance up to 100% of eligible project costs (excluding VAT). This includes funding of OPEX for supplies and consumables whilst WHO maintains pandemic or health emergency status for COVID-19. </w:t>
      </w:r>
    </w:p>
    <w:p w14:paraId="41761BC2" w14:textId="77777777" w:rsidR="00DA7ECF" w:rsidRPr="00EE1FC8" w:rsidRDefault="00DA7ECF" w:rsidP="00F9076D">
      <w:pPr>
        <w:rPr>
          <w:b/>
        </w:rPr>
      </w:pPr>
    </w:p>
    <w:tbl>
      <w:tblPr>
        <w:tblW w:w="9350" w:type="dxa"/>
        <w:tblLook w:val="04A0" w:firstRow="1" w:lastRow="0" w:firstColumn="1" w:lastColumn="0" w:noHBand="0" w:noVBand="1"/>
      </w:tblPr>
      <w:tblGrid>
        <w:gridCol w:w="4904"/>
        <w:gridCol w:w="4446"/>
      </w:tblGrid>
      <w:tr w:rsidR="00EE1FC8" w:rsidRPr="00EE1FC8" w14:paraId="075E4D28" w14:textId="77777777" w:rsidTr="00BD1D1B">
        <w:trPr>
          <w:trHeight w:val="788"/>
        </w:trPr>
        <w:tc>
          <w:tcPr>
            <w:tcW w:w="4904"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6B13B40C" w14:textId="77777777" w:rsidR="00DA7ECF" w:rsidRPr="00EE1FC8" w:rsidRDefault="00DA7ECF" w:rsidP="00BD1D1B">
            <w:pPr>
              <w:rPr>
                <w:rFonts w:ascii="Calibri Light" w:hAnsi="Calibri Light" w:cs="Calibri Light"/>
                <w:b/>
                <w:bCs/>
                <w:sz w:val="20"/>
                <w:lang w:eastAsia="en-GB"/>
              </w:rPr>
            </w:pPr>
            <w:r w:rsidRPr="00EE1FC8">
              <w:rPr>
                <w:rFonts w:ascii="Calibri Light" w:hAnsi="Calibri Light" w:cs="Calibri Light"/>
                <w:b/>
                <w:bCs/>
                <w:sz w:val="20"/>
                <w:lang w:eastAsia="en-GB"/>
              </w:rPr>
              <w:t>Expenditure Category*</w:t>
            </w:r>
          </w:p>
        </w:tc>
        <w:tc>
          <w:tcPr>
            <w:tcW w:w="4446" w:type="dxa"/>
            <w:tcBorders>
              <w:top w:val="single" w:sz="4" w:space="0" w:color="auto"/>
              <w:left w:val="nil"/>
              <w:bottom w:val="single" w:sz="4" w:space="0" w:color="auto"/>
              <w:right w:val="single" w:sz="4" w:space="0" w:color="auto"/>
            </w:tcBorders>
            <w:shd w:val="clear" w:color="000000" w:fill="D9D9D9"/>
            <w:noWrap/>
            <w:vAlign w:val="center"/>
            <w:hideMark/>
          </w:tcPr>
          <w:p w14:paraId="6DEF10A4" w14:textId="687FC199" w:rsidR="00DA7ECF" w:rsidRPr="00EE1FC8" w:rsidRDefault="00DA7ECF" w:rsidP="00BD1D1B">
            <w:pPr>
              <w:rPr>
                <w:rFonts w:ascii="Calibri Light" w:hAnsi="Calibri Light" w:cs="Calibri Light"/>
                <w:b/>
                <w:bCs/>
                <w:sz w:val="20"/>
                <w:lang w:eastAsia="en-GB"/>
              </w:rPr>
            </w:pPr>
            <w:r w:rsidRPr="00EE1FC8">
              <w:rPr>
                <w:rFonts w:ascii="Calibri Light" w:hAnsi="Calibri Light" w:cs="Calibri Light"/>
                <w:b/>
                <w:bCs/>
                <w:sz w:val="20"/>
                <w:lang w:eastAsia="en-GB"/>
              </w:rPr>
              <w:t xml:space="preserve">Examples for items </w:t>
            </w:r>
          </w:p>
        </w:tc>
      </w:tr>
      <w:tr w:rsidR="00EE1FC8" w:rsidRPr="00EE1FC8" w14:paraId="61113B29" w14:textId="77777777" w:rsidTr="00BD1D1B">
        <w:trPr>
          <w:trHeight w:val="115"/>
        </w:trPr>
        <w:tc>
          <w:tcPr>
            <w:tcW w:w="4904" w:type="dxa"/>
            <w:tcBorders>
              <w:top w:val="nil"/>
              <w:left w:val="single" w:sz="4" w:space="0" w:color="auto"/>
              <w:bottom w:val="single" w:sz="4" w:space="0" w:color="auto"/>
              <w:right w:val="single" w:sz="4" w:space="0" w:color="auto"/>
            </w:tcBorders>
            <w:shd w:val="clear" w:color="auto" w:fill="auto"/>
            <w:noWrap/>
            <w:vAlign w:val="center"/>
            <w:hideMark/>
          </w:tcPr>
          <w:p w14:paraId="47C2A876" w14:textId="77777777" w:rsidR="00DA7ECF" w:rsidRPr="00EE1FC8" w:rsidRDefault="00DA7ECF" w:rsidP="00BD1D1B">
            <w:pPr>
              <w:rPr>
                <w:rFonts w:ascii="Calibri Light" w:hAnsi="Calibri Light" w:cs="Calibri Light"/>
                <w:b/>
                <w:bCs/>
                <w:sz w:val="10"/>
                <w:szCs w:val="10"/>
                <w:lang w:eastAsia="en-GB"/>
              </w:rPr>
            </w:pPr>
            <w:r w:rsidRPr="00EE1FC8">
              <w:rPr>
                <w:rFonts w:ascii="Calibri Light" w:hAnsi="Calibri Light" w:cs="Calibri Light"/>
                <w:b/>
                <w:bCs/>
                <w:sz w:val="10"/>
                <w:szCs w:val="10"/>
                <w:lang w:eastAsia="en-GB"/>
              </w:rPr>
              <w:t> </w:t>
            </w:r>
          </w:p>
        </w:tc>
        <w:tc>
          <w:tcPr>
            <w:tcW w:w="4446" w:type="dxa"/>
            <w:tcBorders>
              <w:top w:val="nil"/>
              <w:left w:val="nil"/>
              <w:bottom w:val="single" w:sz="4" w:space="0" w:color="auto"/>
              <w:right w:val="single" w:sz="4" w:space="0" w:color="auto"/>
            </w:tcBorders>
            <w:shd w:val="clear" w:color="auto" w:fill="auto"/>
            <w:noWrap/>
            <w:vAlign w:val="center"/>
            <w:hideMark/>
          </w:tcPr>
          <w:p w14:paraId="11C581CC" w14:textId="77777777" w:rsidR="00DA7ECF" w:rsidRPr="00EE1FC8" w:rsidRDefault="00DA7ECF" w:rsidP="00BD1D1B">
            <w:pPr>
              <w:rPr>
                <w:rFonts w:ascii="Calibri Light" w:hAnsi="Calibri Light" w:cs="Calibri Light"/>
                <w:b/>
                <w:bCs/>
                <w:sz w:val="10"/>
                <w:szCs w:val="10"/>
                <w:lang w:eastAsia="en-GB"/>
              </w:rPr>
            </w:pPr>
            <w:r w:rsidRPr="00EE1FC8">
              <w:rPr>
                <w:rFonts w:ascii="Calibri Light" w:hAnsi="Calibri Light" w:cs="Calibri Light"/>
                <w:b/>
                <w:bCs/>
                <w:sz w:val="10"/>
                <w:szCs w:val="10"/>
                <w:lang w:eastAsia="en-GB"/>
              </w:rPr>
              <w:t> </w:t>
            </w:r>
          </w:p>
        </w:tc>
      </w:tr>
      <w:tr w:rsidR="00EE1FC8" w:rsidRPr="00EE1FC8" w14:paraId="61F0DB1C" w14:textId="77777777" w:rsidTr="00BD1D1B">
        <w:trPr>
          <w:trHeight w:val="285"/>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14:paraId="6D177BBE" w14:textId="77777777" w:rsidR="00DA7ECF" w:rsidRPr="00EE1FC8" w:rsidRDefault="00DA7ECF" w:rsidP="00BD1D1B">
            <w:pPr>
              <w:rPr>
                <w:rFonts w:ascii="Calibri Light" w:hAnsi="Calibri Light" w:cs="Calibri Light"/>
                <w:b/>
                <w:bCs/>
                <w:sz w:val="16"/>
                <w:szCs w:val="16"/>
                <w:lang w:eastAsia="en-GB"/>
              </w:rPr>
            </w:pPr>
            <w:r w:rsidRPr="00EE1FC8">
              <w:rPr>
                <w:rFonts w:ascii="Calibri Light" w:hAnsi="Calibri Light" w:cs="Calibri Light"/>
                <w:b/>
                <w:bCs/>
                <w:sz w:val="16"/>
                <w:szCs w:val="16"/>
                <w:lang w:eastAsia="en-GB"/>
              </w:rPr>
              <w:t>Medical and non-medical equipment</w:t>
            </w:r>
            <w:r w:rsidRPr="00EE1FC8">
              <w:rPr>
                <w:rFonts w:ascii="Calibri Light" w:hAnsi="Calibri Light" w:cs="Calibri Light"/>
                <w:sz w:val="16"/>
                <w:szCs w:val="16"/>
                <w:lang w:eastAsia="en-GB"/>
              </w:rPr>
              <w:t xml:space="preserve"> </w:t>
            </w:r>
          </w:p>
        </w:tc>
        <w:tc>
          <w:tcPr>
            <w:tcW w:w="4446" w:type="dxa"/>
            <w:tcBorders>
              <w:top w:val="nil"/>
              <w:left w:val="nil"/>
              <w:bottom w:val="single" w:sz="4" w:space="0" w:color="auto"/>
              <w:right w:val="single" w:sz="4" w:space="0" w:color="auto"/>
            </w:tcBorders>
            <w:shd w:val="clear" w:color="auto" w:fill="auto"/>
            <w:noWrap/>
            <w:vAlign w:val="center"/>
            <w:hideMark/>
          </w:tcPr>
          <w:p w14:paraId="38F31EC9" w14:textId="77777777" w:rsidR="00DA7ECF" w:rsidRPr="00EE1FC8" w:rsidRDefault="00DA7ECF" w:rsidP="00BD1D1B">
            <w:pPr>
              <w:rPr>
                <w:rFonts w:ascii="Calibri Light" w:hAnsi="Calibri Light" w:cs="Calibri Light"/>
                <w:b/>
                <w:bCs/>
                <w:sz w:val="16"/>
                <w:szCs w:val="16"/>
                <w:lang w:eastAsia="en-GB"/>
              </w:rPr>
            </w:pPr>
            <w:r w:rsidRPr="00EE1FC8">
              <w:rPr>
                <w:rFonts w:ascii="Calibri Light" w:hAnsi="Calibri Light" w:cs="Calibri Light"/>
                <w:b/>
                <w:bCs/>
                <w:sz w:val="16"/>
                <w:szCs w:val="16"/>
                <w:lang w:eastAsia="en-GB"/>
              </w:rPr>
              <w:t> </w:t>
            </w:r>
          </w:p>
        </w:tc>
      </w:tr>
      <w:tr w:rsidR="00EE1FC8" w:rsidRPr="00EE1FC8" w14:paraId="4869CBD5" w14:textId="77777777" w:rsidTr="00BD1D1B">
        <w:trPr>
          <w:trHeight w:val="285"/>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14:paraId="7012B60F" w14:textId="77777777" w:rsidR="00DA7ECF" w:rsidRPr="00EE1FC8" w:rsidRDefault="00DA7ECF" w:rsidP="00BD1D1B">
            <w:pPr>
              <w:jc w:val="cente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c>
          <w:tcPr>
            <w:tcW w:w="4446" w:type="dxa"/>
            <w:tcBorders>
              <w:top w:val="nil"/>
              <w:left w:val="nil"/>
              <w:bottom w:val="single" w:sz="4" w:space="0" w:color="auto"/>
              <w:right w:val="single" w:sz="4" w:space="0" w:color="auto"/>
            </w:tcBorders>
            <w:shd w:val="clear" w:color="auto" w:fill="auto"/>
            <w:noWrap/>
            <w:vAlign w:val="center"/>
            <w:hideMark/>
          </w:tcPr>
          <w:p w14:paraId="18DF4514"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pulmonary ventilators</w:t>
            </w:r>
          </w:p>
        </w:tc>
      </w:tr>
      <w:tr w:rsidR="00EE1FC8" w:rsidRPr="00EE1FC8" w14:paraId="02F65437"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1DBD93BB"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0CD92F40"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vital signs monitors</w:t>
            </w:r>
          </w:p>
        </w:tc>
      </w:tr>
      <w:tr w:rsidR="00EE1FC8" w:rsidRPr="00EE1FC8" w14:paraId="33A8AD7C"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3F096AAB"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674DEDCD" w14:textId="77777777" w:rsidR="00DA7ECF" w:rsidRPr="00EE1FC8" w:rsidRDefault="00DA7ECF" w:rsidP="00BD1D1B">
            <w:pPr>
              <w:rPr>
                <w:rFonts w:ascii="Calibri Light" w:hAnsi="Calibri Light" w:cs="Calibri Light"/>
                <w:sz w:val="16"/>
                <w:szCs w:val="16"/>
                <w:lang w:eastAsia="en-GB"/>
              </w:rPr>
            </w:pPr>
            <w:proofErr w:type="gramStart"/>
            <w:r w:rsidRPr="00EE1FC8">
              <w:rPr>
                <w:rFonts w:ascii="Calibri Light" w:hAnsi="Calibri Light" w:cs="Calibri Light"/>
                <w:sz w:val="16"/>
                <w:szCs w:val="16"/>
                <w:lang w:eastAsia="en-GB"/>
              </w:rPr>
              <w:t>medical</w:t>
            </w:r>
            <w:proofErr w:type="gramEnd"/>
            <w:r w:rsidRPr="00EE1FC8">
              <w:rPr>
                <w:rFonts w:ascii="Calibri Light" w:hAnsi="Calibri Light" w:cs="Calibri Light"/>
                <w:sz w:val="16"/>
                <w:szCs w:val="16"/>
                <w:lang w:eastAsia="en-GB"/>
              </w:rPr>
              <w:t xml:space="preserve"> gases devices (flowmeters, hoses, pressure reducers…)</w:t>
            </w:r>
          </w:p>
        </w:tc>
      </w:tr>
      <w:tr w:rsidR="00EE1FC8" w:rsidRPr="00EE1FC8" w14:paraId="70E42A0A"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691449FB"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4A671D84"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oxygen concentrators</w:t>
            </w:r>
          </w:p>
        </w:tc>
      </w:tr>
      <w:tr w:rsidR="00EE1FC8" w:rsidRPr="00EE1FC8" w14:paraId="7466879C"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7C2DC0B5"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0246E25C"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standard beds</w:t>
            </w:r>
          </w:p>
        </w:tc>
      </w:tr>
      <w:tr w:rsidR="00EE1FC8" w:rsidRPr="00EE1FC8" w14:paraId="4C494CE5"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1C6D619D"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2B468AD8"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intensive care beds</w:t>
            </w:r>
          </w:p>
        </w:tc>
      </w:tr>
      <w:tr w:rsidR="00EE1FC8" w:rsidRPr="00EE1FC8" w14:paraId="76EAA2D8"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3317D186"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33CDBD79"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extracorporeal oxygenation systems</w:t>
            </w:r>
          </w:p>
        </w:tc>
      </w:tr>
      <w:tr w:rsidR="00EE1FC8" w:rsidRPr="00EE1FC8" w14:paraId="07E5AE51"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22763B25"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2CC7CBE4"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steam sterilizers</w:t>
            </w:r>
          </w:p>
        </w:tc>
      </w:tr>
      <w:tr w:rsidR="00EE1FC8" w:rsidRPr="00EE1FC8" w14:paraId="1C835C27"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115D0DA7"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39E18A4C"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resuscitation equipment</w:t>
            </w:r>
          </w:p>
        </w:tc>
      </w:tr>
      <w:tr w:rsidR="00EE1FC8" w:rsidRPr="00EE1FC8" w14:paraId="05FB2801"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76731623"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382531FA"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x-ray mobile units</w:t>
            </w:r>
          </w:p>
        </w:tc>
      </w:tr>
      <w:tr w:rsidR="00EE1FC8" w:rsidRPr="00EE1FC8" w14:paraId="48AF13E2"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0F3A5C39"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4CF0B07A"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laboratory diagnostics equipment</w:t>
            </w:r>
          </w:p>
        </w:tc>
      </w:tr>
      <w:tr w:rsidR="00EE1FC8" w:rsidRPr="00EE1FC8" w14:paraId="376ED311" w14:textId="77777777" w:rsidTr="00BD1D1B">
        <w:trPr>
          <w:trHeight w:val="285"/>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14:paraId="7F9A9D97" w14:textId="77777777" w:rsidR="00DA7ECF" w:rsidRPr="00EE1FC8" w:rsidRDefault="00DA7ECF" w:rsidP="00BD1D1B">
            <w:pPr>
              <w:rPr>
                <w:rFonts w:ascii="Calibri Light" w:hAnsi="Calibri Light" w:cs="Calibri Light"/>
                <w:b/>
                <w:bCs/>
                <w:sz w:val="16"/>
                <w:szCs w:val="16"/>
                <w:lang w:eastAsia="en-GB"/>
              </w:rPr>
            </w:pPr>
            <w:r w:rsidRPr="00EE1FC8">
              <w:rPr>
                <w:rFonts w:ascii="Calibri Light" w:hAnsi="Calibri Light" w:cs="Calibri Light"/>
                <w:b/>
                <w:bCs/>
                <w:sz w:val="16"/>
                <w:szCs w:val="16"/>
                <w:lang w:eastAsia="en-GB"/>
              </w:rPr>
              <w:t>General supplies and consumables</w:t>
            </w:r>
            <w:r w:rsidRPr="00EE1FC8">
              <w:rPr>
                <w:rFonts w:ascii="Calibri Light" w:hAnsi="Calibri Light" w:cs="Calibri Light"/>
                <w:sz w:val="16"/>
                <w:szCs w:val="16"/>
                <w:lang w:eastAsia="en-GB"/>
              </w:rPr>
              <w:t xml:space="preserve"> </w:t>
            </w:r>
          </w:p>
        </w:tc>
        <w:tc>
          <w:tcPr>
            <w:tcW w:w="4446" w:type="dxa"/>
            <w:tcBorders>
              <w:top w:val="nil"/>
              <w:left w:val="nil"/>
              <w:bottom w:val="single" w:sz="4" w:space="0" w:color="auto"/>
              <w:right w:val="single" w:sz="4" w:space="0" w:color="auto"/>
            </w:tcBorders>
            <w:shd w:val="clear" w:color="auto" w:fill="auto"/>
            <w:noWrap/>
            <w:vAlign w:val="center"/>
            <w:hideMark/>
          </w:tcPr>
          <w:p w14:paraId="699C978C"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r>
      <w:tr w:rsidR="00EE1FC8" w:rsidRPr="00EE1FC8" w14:paraId="2DD761CE" w14:textId="77777777" w:rsidTr="00BD1D1B">
        <w:trPr>
          <w:trHeight w:val="285"/>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14:paraId="31A3FAA9" w14:textId="77777777" w:rsidR="00DA7ECF" w:rsidRPr="00EE1FC8" w:rsidRDefault="00DA7ECF" w:rsidP="00BD1D1B">
            <w:pPr>
              <w:jc w:val="cente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c>
          <w:tcPr>
            <w:tcW w:w="4446" w:type="dxa"/>
            <w:tcBorders>
              <w:top w:val="nil"/>
              <w:left w:val="nil"/>
              <w:bottom w:val="single" w:sz="4" w:space="0" w:color="auto"/>
              <w:right w:val="single" w:sz="4" w:space="0" w:color="auto"/>
            </w:tcBorders>
            <w:shd w:val="clear" w:color="auto" w:fill="auto"/>
            <w:noWrap/>
            <w:vAlign w:val="center"/>
          </w:tcPr>
          <w:p w14:paraId="7AD3E3CE"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Personal protective equipment and masks</w:t>
            </w:r>
          </w:p>
        </w:tc>
      </w:tr>
      <w:tr w:rsidR="00EE1FC8" w:rsidRPr="00EE1FC8" w14:paraId="5EA4E9A1" w14:textId="77777777" w:rsidTr="00BD1D1B">
        <w:trPr>
          <w:trHeight w:val="285"/>
        </w:trPr>
        <w:tc>
          <w:tcPr>
            <w:tcW w:w="4904" w:type="dxa"/>
            <w:vMerge/>
            <w:tcBorders>
              <w:top w:val="nil"/>
              <w:left w:val="single" w:sz="4" w:space="0" w:color="auto"/>
              <w:bottom w:val="single" w:sz="4" w:space="0" w:color="000000"/>
              <w:right w:val="single" w:sz="4" w:space="0" w:color="auto"/>
            </w:tcBorders>
            <w:shd w:val="clear" w:color="auto" w:fill="auto"/>
            <w:noWrap/>
          </w:tcPr>
          <w:p w14:paraId="3ACFDB00" w14:textId="77777777" w:rsidR="00DA7ECF" w:rsidRPr="00EE1FC8" w:rsidRDefault="00DA7ECF" w:rsidP="00BD1D1B">
            <w:pPr>
              <w:jc w:val="cente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tcPr>
          <w:p w14:paraId="53116D8F"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Lab test reagents and supplies</w:t>
            </w:r>
          </w:p>
        </w:tc>
      </w:tr>
      <w:tr w:rsidR="00EE1FC8" w:rsidRPr="00EE1FC8" w14:paraId="42AE678C" w14:textId="77777777" w:rsidTr="00BD1D1B">
        <w:trPr>
          <w:trHeight w:val="285"/>
        </w:trPr>
        <w:tc>
          <w:tcPr>
            <w:tcW w:w="4904" w:type="dxa"/>
            <w:vMerge/>
            <w:tcBorders>
              <w:top w:val="nil"/>
              <w:left w:val="single" w:sz="4" w:space="0" w:color="auto"/>
              <w:bottom w:val="single" w:sz="4" w:space="0" w:color="000000"/>
              <w:right w:val="single" w:sz="4" w:space="0" w:color="auto"/>
            </w:tcBorders>
            <w:shd w:val="clear" w:color="auto" w:fill="auto"/>
            <w:noWrap/>
          </w:tcPr>
          <w:p w14:paraId="77A3A7CB" w14:textId="77777777" w:rsidR="00DA7ECF" w:rsidRPr="00EE1FC8" w:rsidRDefault="00DA7ECF" w:rsidP="00BD1D1B">
            <w:pPr>
              <w:jc w:val="cente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tcPr>
          <w:p w14:paraId="5C68FC92"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reusable pulmonary ventilation circuits</w:t>
            </w:r>
          </w:p>
        </w:tc>
      </w:tr>
      <w:tr w:rsidR="00EE1FC8" w:rsidRPr="00EE1FC8" w14:paraId="605FFE66"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37C73F06"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71C9A8DC"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disposable oxygen therapy devices</w:t>
            </w:r>
          </w:p>
        </w:tc>
      </w:tr>
      <w:tr w:rsidR="00EE1FC8" w:rsidRPr="00EE1FC8" w14:paraId="06AB0791"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5DAF8045"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30D8C284"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transport oxygen cylinders</w:t>
            </w:r>
          </w:p>
        </w:tc>
      </w:tr>
      <w:tr w:rsidR="00EE1FC8" w:rsidRPr="00EE1FC8" w14:paraId="170FC7D2" w14:textId="77777777" w:rsidTr="00BD1D1B">
        <w:trPr>
          <w:trHeight w:val="420"/>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14:paraId="6A4DEF55" w14:textId="77777777" w:rsidR="00DA7ECF" w:rsidRPr="00EE1FC8" w:rsidRDefault="00DA7ECF" w:rsidP="00BD1D1B">
            <w:pPr>
              <w:rPr>
                <w:rFonts w:ascii="Calibri Light" w:hAnsi="Calibri Light" w:cs="Calibri Light"/>
                <w:b/>
                <w:bCs/>
                <w:sz w:val="16"/>
                <w:szCs w:val="16"/>
                <w:lang w:eastAsia="en-GB"/>
              </w:rPr>
            </w:pPr>
            <w:r w:rsidRPr="00EE1FC8">
              <w:rPr>
                <w:rFonts w:ascii="Calibri Light" w:hAnsi="Calibri Light" w:cs="Calibri Light"/>
                <w:b/>
                <w:bCs/>
                <w:sz w:val="16"/>
                <w:szCs w:val="16"/>
                <w:lang w:eastAsia="en-GB"/>
              </w:rPr>
              <w:t>Electromechanical installations and systems / adaptive</w:t>
            </w:r>
          </w:p>
        </w:tc>
        <w:tc>
          <w:tcPr>
            <w:tcW w:w="4446" w:type="dxa"/>
            <w:tcBorders>
              <w:top w:val="nil"/>
              <w:left w:val="nil"/>
              <w:bottom w:val="single" w:sz="4" w:space="0" w:color="auto"/>
              <w:right w:val="single" w:sz="4" w:space="0" w:color="auto"/>
            </w:tcBorders>
            <w:shd w:val="clear" w:color="auto" w:fill="auto"/>
            <w:noWrap/>
            <w:vAlign w:val="center"/>
            <w:hideMark/>
          </w:tcPr>
          <w:p w14:paraId="4AE38FC8"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r>
      <w:tr w:rsidR="00EE1FC8" w:rsidRPr="00EE1FC8" w14:paraId="3DB2055E" w14:textId="77777777" w:rsidTr="00BD1D1B">
        <w:trPr>
          <w:trHeight w:val="285"/>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14:paraId="537186CC" w14:textId="77777777" w:rsidR="00DA7ECF" w:rsidRPr="00EE1FC8" w:rsidRDefault="00DA7ECF" w:rsidP="00BD1D1B">
            <w:pPr>
              <w:jc w:val="cente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c>
          <w:tcPr>
            <w:tcW w:w="4446" w:type="dxa"/>
            <w:tcBorders>
              <w:top w:val="nil"/>
              <w:left w:val="nil"/>
              <w:bottom w:val="single" w:sz="4" w:space="0" w:color="auto"/>
              <w:right w:val="single" w:sz="4" w:space="0" w:color="auto"/>
            </w:tcBorders>
            <w:shd w:val="clear" w:color="auto" w:fill="auto"/>
            <w:noWrap/>
            <w:vAlign w:val="center"/>
            <w:hideMark/>
          </w:tcPr>
          <w:p w14:paraId="454D3333"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oxygen generation systems</w:t>
            </w:r>
          </w:p>
        </w:tc>
      </w:tr>
      <w:tr w:rsidR="00EE1FC8" w:rsidRPr="00EE1FC8" w14:paraId="7352C682"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7184B8D1"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0BB329AF"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medical gases piping and distribution</w:t>
            </w:r>
          </w:p>
        </w:tc>
      </w:tr>
      <w:tr w:rsidR="00EE1FC8" w:rsidRPr="00EE1FC8" w14:paraId="0BB43EA2"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4996624F"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29465EEC"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oxygen cylinders refilling systems</w:t>
            </w:r>
          </w:p>
        </w:tc>
      </w:tr>
      <w:tr w:rsidR="00EE1FC8" w:rsidRPr="00EE1FC8" w14:paraId="2BD983BB"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1CD3777D"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779BB772"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xml:space="preserve">power generators / UPS </w:t>
            </w:r>
          </w:p>
        </w:tc>
      </w:tr>
      <w:tr w:rsidR="00EE1FC8" w:rsidRPr="00EE1FC8" w14:paraId="7BA305B3"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529F6563"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4801799B"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xml:space="preserve">air treatment installations </w:t>
            </w:r>
          </w:p>
        </w:tc>
      </w:tr>
      <w:tr w:rsidR="00EE1FC8" w:rsidRPr="00EE1FC8" w14:paraId="5A1DB004"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381E8E6D"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074AC2BE"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water treatment installations</w:t>
            </w:r>
          </w:p>
        </w:tc>
      </w:tr>
      <w:tr w:rsidR="00EE1FC8" w:rsidRPr="00EE1FC8" w14:paraId="213145DB"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3FF65DBF"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69774F7C"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waste management installations</w:t>
            </w:r>
          </w:p>
        </w:tc>
      </w:tr>
      <w:tr w:rsidR="00EE1FC8" w:rsidRPr="00EE1FC8" w14:paraId="1FCB9E70" w14:textId="77777777" w:rsidTr="00BD1D1B">
        <w:trPr>
          <w:trHeight w:val="285"/>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14:paraId="7A51950F" w14:textId="77777777" w:rsidR="00DA7ECF" w:rsidRPr="00EE1FC8" w:rsidRDefault="00DA7ECF" w:rsidP="00BD1D1B">
            <w:pPr>
              <w:rPr>
                <w:rFonts w:ascii="Calibri Light" w:hAnsi="Calibri Light" w:cs="Calibri Light"/>
                <w:b/>
                <w:bCs/>
                <w:sz w:val="16"/>
                <w:szCs w:val="16"/>
                <w:lang w:eastAsia="en-GB"/>
              </w:rPr>
            </w:pPr>
            <w:r w:rsidRPr="00EE1FC8">
              <w:rPr>
                <w:rFonts w:ascii="Calibri Light" w:hAnsi="Calibri Light" w:cs="Calibri Light"/>
                <w:b/>
                <w:bCs/>
                <w:sz w:val="16"/>
                <w:szCs w:val="16"/>
                <w:lang w:eastAsia="en-GB"/>
              </w:rPr>
              <w:t>Modular and mobile hospital units</w:t>
            </w:r>
          </w:p>
        </w:tc>
        <w:tc>
          <w:tcPr>
            <w:tcW w:w="4446" w:type="dxa"/>
            <w:tcBorders>
              <w:top w:val="nil"/>
              <w:left w:val="nil"/>
              <w:bottom w:val="single" w:sz="4" w:space="0" w:color="auto"/>
              <w:right w:val="single" w:sz="4" w:space="0" w:color="auto"/>
            </w:tcBorders>
            <w:shd w:val="clear" w:color="auto" w:fill="auto"/>
            <w:noWrap/>
            <w:vAlign w:val="center"/>
            <w:hideMark/>
          </w:tcPr>
          <w:p w14:paraId="26D04AA0"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r>
      <w:tr w:rsidR="00EE1FC8" w:rsidRPr="00EE1FC8" w14:paraId="1E4B61C2" w14:textId="77777777" w:rsidTr="00BD1D1B">
        <w:trPr>
          <w:trHeight w:val="285"/>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14:paraId="6189FF02" w14:textId="77777777" w:rsidR="00DA7ECF" w:rsidRPr="00EE1FC8" w:rsidRDefault="00DA7ECF" w:rsidP="00BD1D1B">
            <w:pPr>
              <w:jc w:val="cente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c>
          <w:tcPr>
            <w:tcW w:w="4446" w:type="dxa"/>
            <w:tcBorders>
              <w:top w:val="nil"/>
              <w:left w:val="nil"/>
              <w:bottom w:val="single" w:sz="4" w:space="0" w:color="auto"/>
              <w:right w:val="single" w:sz="4" w:space="0" w:color="auto"/>
            </w:tcBorders>
            <w:shd w:val="clear" w:color="auto" w:fill="auto"/>
            <w:noWrap/>
            <w:vAlign w:val="center"/>
            <w:hideMark/>
          </w:tcPr>
          <w:p w14:paraId="0608E525"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inpatient units</w:t>
            </w:r>
          </w:p>
        </w:tc>
      </w:tr>
      <w:tr w:rsidR="00EE1FC8" w:rsidRPr="00EE1FC8" w14:paraId="306FCCDE"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4CF2147C"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7E08BE0C"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xml:space="preserve">intensive care / </w:t>
            </w:r>
            <w:proofErr w:type="spellStart"/>
            <w:r w:rsidRPr="00EE1FC8">
              <w:rPr>
                <w:rFonts w:ascii="Calibri Light" w:hAnsi="Calibri Light" w:cs="Calibri Light"/>
                <w:sz w:val="16"/>
                <w:szCs w:val="16"/>
                <w:lang w:eastAsia="en-GB"/>
              </w:rPr>
              <w:t>subintensive</w:t>
            </w:r>
            <w:proofErr w:type="spellEnd"/>
            <w:r w:rsidRPr="00EE1FC8">
              <w:rPr>
                <w:rFonts w:ascii="Calibri Light" w:hAnsi="Calibri Light" w:cs="Calibri Light"/>
                <w:sz w:val="16"/>
                <w:szCs w:val="16"/>
                <w:lang w:eastAsia="en-GB"/>
              </w:rPr>
              <w:t xml:space="preserve"> care units</w:t>
            </w:r>
          </w:p>
        </w:tc>
      </w:tr>
      <w:tr w:rsidR="00EE1FC8" w:rsidRPr="00EE1FC8" w14:paraId="652B72E4"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4C1339E3"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18A0A01F"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sterilization service</w:t>
            </w:r>
          </w:p>
        </w:tc>
      </w:tr>
      <w:tr w:rsidR="00EE1FC8" w:rsidRPr="00EE1FC8" w14:paraId="24E0CF7A"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4EE3866B"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09A89ECD"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xml:space="preserve">diagnostics </w:t>
            </w:r>
            <w:proofErr w:type="spellStart"/>
            <w:r w:rsidRPr="00EE1FC8">
              <w:rPr>
                <w:rFonts w:ascii="Calibri Light" w:hAnsi="Calibri Light" w:cs="Calibri Light"/>
                <w:sz w:val="16"/>
                <w:szCs w:val="16"/>
                <w:lang w:eastAsia="en-GB"/>
              </w:rPr>
              <w:t>bioimaging</w:t>
            </w:r>
            <w:proofErr w:type="spellEnd"/>
            <w:r w:rsidRPr="00EE1FC8">
              <w:rPr>
                <w:rFonts w:ascii="Calibri Light" w:hAnsi="Calibri Light" w:cs="Calibri Light"/>
                <w:sz w:val="16"/>
                <w:szCs w:val="16"/>
                <w:lang w:eastAsia="en-GB"/>
              </w:rPr>
              <w:t xml:space="preserve"> units</w:t>
            </w:r>
          </w:p>
        </w:tc>
      </w:tr>
      <w:tr w:rsidR="00EE1FC8" w:rsidRPr="00EE1FC8" w14:paraId="3509D6A8"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5F844D37"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71932546"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diagnostics laboratory units</w:t>
            </w:r>
          </w:p>
        </w:tc>
      </w:tr>
      <w:tr w:rsidR="00EE1FC8" w:rsidRPr="00EE1FC8" w14:paraId="38359DC5"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557CB7FB"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2CAB06EE"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field hospitals systems for rapid emergency deployment</w:t>
            </w:r>
          </w:p>
        </w:tc>
      </w:tr>
      <w:tr w:rsidR="00EE1FC8" w:rsidRPr="00EE1FC8" w14:paraId="6C4F079E" w14:textId="77777777" w:rsidTr="00BD1D1B">
        <w:trPr>
          <w:trHeight w:val="420"/>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14:paraId="7BF26914" w14:textId="77777777" w:rsidR="00DA7ECF" w:rsidRPr="00EE1FC8" w:rsidRDefault="00DA7ECF" w:rsidP="00BD1D1B">
            <w:pPr>
              <w:rPr>
                <w:rFonts w:ascii="Calibri Light" w:hAnsi="Calibri Light" w:cs="Calibri Light"/>
                <w:b/>
                <w:bCs/>
                <w:sz w:val="16"/>
                <w:szCs w:val="16"/>
                <w:lang w:eastAsia="en-GB"/>
              </w:rPr>
            </w:pPr>
            <w:r w:rsidRPr="00EE1FC8">
              <w:rPr>
                <w:rFonts w:ascii="Calibri Light" w:hAnsi="Calibri Light" w:cs="Calibri Light"/>
                <w:b/>
                <w:bCs/>
                <w:sz w:val="16"/>
                <w:szCs w:val="16"/>
                <w:lang w:eastAsia="en-GB"/>
              </w:rPr>
              <w:t>Reconfiguration of healthcare facility and services</w:t>
            </w:r>
          </w:p>
        </w:tc>
        <w:tc>
          <w:tcPr>
            <w:tcW w:w="4446" w:type="dxa"/>
            <w:tcBorders>
              <w:top w:val="nil"/>
              <w:left w:val="nil"/>
              <w:bottom w:val="single" w:sz="4" w:space="0" w:color="auto"/>
              <w:right w:val="single" w:sz="4" w:space="0" w:color="auto"/>
            </w:tcBorders>
            <w:shd w:val="clear" w:color="auto" w:fill="auto"/>
            <w:noWrap/>
            <w:vAlign w:val="center"/>
            <w:hideMark/>
          </w:tcPr>
          <w:p w14:paraId="1DB60E4B"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r>
      <w:tr w:rsidR="00EE1FC8" w:rsidRPr="00EE1FC8" w14:paraId="0F0D6764" w14:textId="77777777" w:rsidTr="00BD1D1B">
        <w:trPr>
          <w:trHeight w:val="285"/>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14:paraId="2EE43754" w14:textId="77777777" w:rsidR="00DA7ECF" w:rsidRPr="00EE1FC8" w:rsidRDefault="00DA7ECF" w:rsidP="00BD1D1B">
            <w:pPr>
              <w:jc w:val="center"/>
              <w:rPr>
                <w:rFonts w:ascii="Calibri Light" w:hAnsi="Calibri Light" w:cs="Calibri Light"/>
                <w:sz w:val="16"/>
                <w:szCs w:val="16"/>
                <w:lang w:eastAsia="en-GB"/>
              </w:rPr>
            </w:pPr>
            <w:r w:rsidRPr="00EE1FC8">
              <w:rPr>
                <w:rFonts w:ascii="Calibri Light" w:hAnsi="Calibri Light" w:cs="Calibri Light"/>
                <w:sz w:val="16"/>
                <w:szCs w:val="16"/>
                <w:lang w:eastAsia="en-GB"/>
              </w:rPr>
              <w:lastRenderedPageBreak/>
              <w:t xml:space="preserve">(COVID dedicated, for use as temporary treatment centre (e.g. recently closed health facilities or conversion of premises for COVID treatment, </w:t>
            </w:r>
            <w:r w:rsidRPr="00EE1FC8">
              <w:rPr>
                <w:rFonts w:ascii="Calibri Light" w:hAnsi="Calibri Light" w:cs="Calibri Light"/>
                <w:sz w:val="16"/>
                <w:szCs w:val="16"/>
                <w:highlight w:val="yellow"/>
                <w:lang w:eastAsia="en-GB"/>
              </w:rPr>
              <w:t>including of initially non-healthcare facilities</w:t>
            </w:r>
            <w:r w:rsidRPr="00EE1FC8">
              <w:rPr>
                <w:rFonts w:ascii="Calibri Light" w:hAnsi="Calibri Light" w:cs="Calibri Light"/>
                <w:sz w:val="16"/>
                <w:szCs w:val="16"/>
                <w:lang w:eastAsia="en-GB"/>
              </w:rPr>
              <w:t>))</w:t>
            </w:r>
          </w:p>
        </w:tc>
        <w:tc>
          <w:tcPr>
            <w:tcW w:w="4446" w:type="dxa"/>
            <w:tcBorders>
              <w:top w:val="nil"/>
              <w:left w:val="nil"/>
              <w:bottom w:val="single" w:sz="4" w:space="0" w:color="auto"/>
              <w:right w:val="single" w:sz="4" w:space="0" w:color="auto"/>
            </w:tcBorders>
            <w:shd w:val="clear" w:color="auto" w:fill="auto"/>
            <w:noWrap/>
            <w:vAlign w:val="center"/>
            <w:hideMark/>
          </w:tcPr>
          <w:p w14:paraId="042B5FF8"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reconfiguration planning and design</w:t>
            </w:r>
          </w:p>
        </w:tc>
      </w:tr>
      <w:tr w:rsidR="00EE1FC8" w:rsidRPr="00EE1FC8" w14:paraId="3158B0E8"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104426F2"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2196CD8F"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reconfiguration works</w:t>
            </w:r>
          </w:p>
        </w:tc>
      </w:tr>
      <w:tr w:rsidR="00EE1FC8" w:rsidRPr="00EE1FC8" w14:paraId="46D2648F"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32877279"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113F5CA8"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removal and transfer works</w:t>
            </w:r>
          </w:p>
        </w:tc>
      </w:tr>
      <w:tr w:rsidR="00EE1FC8" w:rsidRPr="00EE1FC8" w14:paraId="4DE4DB3A" w14:textId="77777777" w:rsidTr="00BD1D1B">
        <w:trPr>
          <w:trHeight w:val="349"/>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14:paraId="10689F63" w14:textId="77777777" w:rsidR="00DA7ECF" w:rsidRPr="00EE1FC8" w:rsidRDefault="00DA7ECF" w:rsidP="00BD1D1B">
            <w:pPr>
              <w:rPr>
                <w:rFonts w:ascii="Calibri Light" w:hAnsi="Calibri Light" w:cs="Calibri Light"/>
                <w:b/>
                <w:bCs/>
                <w:sz w:val="16"/>
                <w:szCs w:val="16"/>
                <w:lang w:eastAsia="en-GB"/>
              </w:rPr>
            </w:pPr>
            <w:r w:rsidRPr="00EE1FC8">
              <w:rPr>
                <w:rFonts w:ascii="Calibri Light" w:hAnsi="Calibri Light" w:cs="Calibri Light"/>
                <w:b/>
                <w:bCs/>
                <w:sz w:val="16"/>
                <w:szCs w:val="16"/>
                <w:lang w:eastAsia="en-GB"/>
              </w:rPr>
              <w:t>Staff costs</w:t>
            </w:r>
          </w:p>
        </w:tc>
        <w:tc>
          <w:tcPr>
            <w:tcW w:w="4446" w:type="dxa"/>
            <w:tcBorders>
              <w:top w:val="nil"/>
              <w:left w:val="nil"/>
              <w:bottom w:val="single" w:sz="4" w:space="0" w:color="auto"/>
              <w:right w:val="single" w:sz="4" w:space="0" w:color="auto"/>
            </w:tcBorders>
            <w:shd w:val="clear" w:color="auto" w:fill="auto"/>
            <w:noWrap/>
            <w:vAlign w:val="center"/>
            <w:hideMark/>
          </w:tcPr>
          <w:p w14:paraId="18B75FDA"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r>
      <w:tr w:rsidR="00EE1FC8" w:rsidRPr="00EE1FC8" w14:paraId="21151286" w14:textId="77777777" w:rsidTr="00BD1D1B">
        <w:trPr>
          <w:trHeight w:val="349"/>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14:paraId="5FBB2047" w14:textId="77777777" w:rsidR="00DA7ECF" w:rsidRPr="00EE1FC8" w:rsidRDefault="00DA7ECF" w:rsidP="00BD1D1B">
            <w:pPr>
              <w:jc w:val="center"/>
              <w:rPr>
                <w:rFonts w:ascii="Calibri Light" w:hAnsi="Calibri Light" w:cs="Calibri Light"/>
                <w:sz w:val="16"/>
                <w:szCs w:val="16"/>
                <w:lang w:eastAsia="en-GB"/>
              </w:rPr>
            </w:pPr>
            <w:r w:rsidRPr="00EE1FC8">
              <w:rPr>
                <w:rFonts w:ascii="Calibri Light" w:hAnsi="Calibri Light" w:cs="Calibri Light"/>
                <w:sz w:val="16"/>
                <w:szCs w:val="16"/>
                <w:lang w:eastAsia="en-GB"/>
              </w:rPr>
              <w:t>(specifically aimed at COVID response)</w:t>
            </w:r>
          </w:p>
        </w:tc>
        <w:tc>
          <w:tcPr>
            <w:tcW w:w="4446" w:type="dxa"/>
            <w:tcBorders>
              <w:top w:val="nil"/>
              <w:left w:val="nil"/>
              <w:bottom w:val="single" w:sz="4" w:space="0" w:color="auto"/>
              <w:right w:val="single" w:sz="4" w:space="0" w:color="auto"/>
            </w:tcBorders>
            <w:shd w:val="clear" w:color="auto" w:fill="auto"/>
            <w:noWrap/>
            <w:vAlign w:val="center"/>
            <w:hideMark/>
          </w:tcPr>
          <w:p w14:paraId="28D22653"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Staff training</w:t>
            </w:r>
          </w:p>
        </w:tc>
      </w:tr>
      <w:tr w:rsidR="00EE1FC8" w:rsidRPr="00EE1FC8" w14:paraId="33EC44C3" w14:textId="77777777" w:rsidTr="00BD1D1B">
        <w:trPr>
          <w:trHeight w:val="349"/>
        </w:trPr>
        <w:tc>
          <w:tcPr>
            <w:tcW w:w="4904" w:type="dxa"/>
            <w:vMerge/>
            <w:tcBorders>
              <w:top w:val="nil"/>
              <w:left w:val="single" w:sz="4" w:space="0" w:color="auto"/>
              <w:bottom w:val="single" w:sz="4" w:space="0" w:color="000000"/>
              <w:right w:val="single" w:sz="4" w:space="0" w:color="auto"/>
            </w:tcBorders>
            <w:vAlign w:val="center"/>
            <w:hideMark/>
          </w:tcPr>
          <w:p w14:paraId="40746663"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4C88B749"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R&amp;D salaries</w:t>
            </w:r>
          </w:p>
        </w:tc>
      </w:tr>
      <w:tr w:rsidR="00EE1FC8" w:rsidRPr="00EE1FC8" w14:paraId="506BF4C6" w14:textId="77777777" w:rsidTr="00BD1D1B">
        <w:trPr>
          <w:trHeight w:val="285"/>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14:paraId="0A16AD22" w14:textId="77777777" w:rsidR="00DA7ECF" w:rsidRPr="00EE1FC8" w:rsidRDefault="00DA7ECF" w:rsidP="00BD1D1B">
            <w:pPr>
              <w:rPr>
                <w:rFonts w:ascii="Calibri Light" w:hAnsi="Calibri Light" w:cs="Calibri Light"/>
                <w:b/>
                <w:bCs/>
                <w:sz w:val="16"/>
                <w:szCs w:val="16"/>
                <w:lang w:eastAsia="en-GB"/>
              </w:rPr>
            </w:pPr>
            <w:r w:rsidRPr="00EE1FC8">
              <w:rPr>
                <w:rFonts w:ascii="Calibri Light" w:hAnsi="Calibri Light" w:cs="Calibri Light"/>
                <w:b/>
                <w:bCs/>
                <w:sz w:val="16"/>
                <w:szCs w:val="16"/>
                <w:lang w:eastAsia="en-GB"/>
              </w:rPr>
              <w:t>Facility Management</w:t>
            </w:r>
          </w:p>
        </w:tc>
        <w:tc>
          <w:tcPr>
            <w:tcW w:w="4446" w:type="dxa"/>
            <w:tcBorders>
              <w:top w:val="nil"/>
              <w:left w:val="nil"/>
              <w:bottom w:val="single" w:sz="4" w:space="0" w:color="auto"/>
              <w:right w:val="single" w:sz="4" w:space="0" w:color="auto"/>
            </w:tcBorders>
            <w:shd w:val="clear" w:color="auto" w:fill="auto"/>
            <w:noWrap/>
            <w:vAlign w:val="center"/>
            <w:hideMark/>
          </w:tcPr>
          <w:p w14:paraId="22FC9EFC"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r>
      <w:tr w:rsidR="00EE1FC8" w:rsidRPr="00EE1FC8" w14:paraId="36668CFF" w14:textId="77777777" w:rsidTr="00BD1D1B">
        <w:trPr>
          <w:trHeight w:val="420"/>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14:paraId="589A37DB" w14:textId="77777777" w:rsidR="00DA7ECF" w:rsidRPr="00EE1FC8" w:rsidRDefault="00DA7ECF" w:rsidP="00BD1D1B">
            <w:pPr>
              <w:jc w:val="center"/>
              <w:rPr>
                <w:rFonts w:ascii="Calibri Light" w:hAnsi="Calibri Light" w:cs="Calibri Light"/>
                <w:sz w:val="16"/>
                <w:szCs w:val="16"/>
                <w:lang w:eastAsia="en-GB"/>
              </w:rPr>
            </w:pPr>
            <w:r w:rsidRPr="00EE1FC8">
              <w:rPr>
                <w:rFonts w:ascii="Calibri Light" w:hAnsi="Calibri Light" w:cs="Calibri Light"/>
                <w:sz w:val="16"/>
                <w:szCs w:val="16"/>
                <w:lang w:eastAsia="en-GB"/>
              </w:rPr>
              <w:t>(Emergency maintenance and repairs )</w:t>
            </w:r>
          </w:p>
        </w:tc>
        <w:tc>
          <w:tcPr>
            <w:tcW w:w="4446" w:type="dxa"/>
            <w:tcBorders>
              <w:top w:val="nil"/>
              <w:left w:val="nil"/>
              <w:bottom w:val="single" w:sz="4" w:space="0" w:color="auto"/>
              <w:right w:val="single" w:sz="4" w:space="0" w:color="auto"/>
            </w:tcBorders>
            <w:shd w:val="clear" w:color="auto" w:fill="auto"/>
            <w:noWrap/>
            <w:vAlign w:val="center"/>
            <w:hideMark/>
          </w:tcPr>
          <w:p w14:paraId="2F5DA3ED"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operation and maintenance emergency activities (building, installations and systems)</w:t>
            </w:r>
          </w:p>
        </w:tc>
      </w:tr>
      <w:tr w:rsidR="00EE1FC8" w:rsidRPr="00EE1FC8" w14:paraId="2EC06ECC"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173BDA92"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6E3CD4E6"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xml:space="preserve">clinical engineering emergency activities </w:t>
            </w:r>
          </w:p>
        </w:tc>
      </w:tr>
      <w:tr w:rsidR="00EE1FC8" w:rsidRPr="00EE1FC8" w14:paraId="5B7FD717"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276749AC"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408222DA"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urgent spare parts / repair kits</w:t>
            </w:r>
          </w:p>
        </w:tc>
      </w:tr>
      <w:tr w:rsidR="00EE1FC8" w:rsidRPr="00EE1FC8" w14:paraId="68BD6948"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526B7BA6"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00737789"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Security activities and equipment</w:t>
            </w:r>
          </w:p>
        </w:tc>
      </w:tr>
      <w:tr w:rsidR="00EE1FC8" w:rsidRPr="00EE1FC8" w14:paraId="17545BF8"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457CD6EF"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614E63B7"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Disinfection</w:t>
            </w:r>
          </w:p>
        </w:tc>
      </w:tr>
      <w:tr w:rsidR="00EE1FC8" w:rsidRPr="00EE1FC8" w14:paraId="423CA122" w14:textId="77777777" w:rsidTr="00BD1D1B">
        <w:trPr>
          <w:trHeight w:val="420"/>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14:paraId="1A58EF92" w14:textId="77777777" w:rsidR="00DA7ECF" w:rsidRPr="00EE1FC8" w:rsidRDefault="00DA7ECF" w:rsidP="00BD1D1B">
            <w:pPr>
              <w:rPr>
                <w:rFonts w:ascii="Calibri Light" w:hAnsi="Calibri Light" w:cs="Calibri Light"/>
                <w:b/>
                <w:bCs/>
                <w:sz w:val="16"/>
                <w:szCs w:val="16"/>
                <w:lang w:eastAsia="en-GB"/>
              </w:rPr>
            </w:pPr>
            <w:r w:rsidRPr="00EE1FC8">
              <w:rPr>
                <w:rFonts w:ascii="Calibri Light" w:hAnsi="Calibri Light" w:cs="Calibri Light"/>
                <w:b/>
                <w:bCs/>
                <w:sz w:val="16"/>
                <w:szCs w:val="16"/>
                <w:lang w:eastAsia="en-GB"/>
              </w:rPr>
              <w:t>IT and telecommunication systems</w:t>
            </w:r>
            <w:r w:rsidRPr="00EE1FC8">
              <w:rPr>
                <w:rFonts w:ascii="Calibri Light" w:hAnsi="Calibri Light" w:cs="Calibri Light"/>
                <w:sz w:val="16"/>
                <w:szCs w:val="16"/>
                <w:lang w:eastAsia="en-GB"/>
              </w:rPr>
              <w:t xml:space="preserve"> </w:t>
            </w:r>
            <w:r w:rsidRPr="00EE1FC8">
              <w:rPr>
                <w:rFonts w:ascii="Calibri Light" w:hAnsi="Calibri Light" w:cs="Calibri Light"/>
                <w:b/>
                <w:bCs/>
                <w:sz w:val="16"/>
                <w:szCs w:val="16"/>
                <w:lang w:eastAsia="en-GB"/>
              </w:rPr>
              <w:t>and equipment</w:t>
            </w:r>
            <w:r w:rsidRPr="00EE1FC8">
              <w:rPr>
                <w:rFonts w:ascii="Calibri Light" w:hAnsi="Calibri Light" w:cs="Calibri Light"/>
                <w:sz w:val="16"/>
                <w:szCs w:val="16"/>
                <w:lang w:eastAsia="en-GB"/>
              </w:rPr>
              <w:t xml:space="preserve"> </w:t>
            </w:r>
          </w:p>
        </w:tc>
        <w:tc>
          <w:tcPr>
            <w:tcW w:w="4446" w:type="dxa"/>
            <w:tcBorders>
              <w:top w:val="nil"/>
              <w:left w:val="nil"/>
              <w:bottom w:val="single" w:sz="4" w:space="0" w:color="auto"/>
              <w:right w:val="single" w:sz="4" w:space="0" w:color="auto"/>
            </w:tcBorders>
            <w:shd w:val="clear" w:color="auto" w:fill="auto"/>
            <w:noWrap/>
            <w:vAlign w:val="center"/>
            <w:hideMark/>
          </w:tcPr>
          <w:p w14:paraId="60EB6989"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r>
      <w:tr w:rsidR="00EE1FC8" w:rsidRPr="00EE1FC8" w14:paraId="3CA0A46D" w14:textId="77777777" w:rsidTr="00BD1D1B">
        <w:trPr>
          <w:trHeight w:val="285"/>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14:paraId="2AFE7290" w14:textId="77777777" w:rsidR="00DA7ECF" w:rsidRPr="00EE1FC8" w:rsidRDefault="00DA7ECF" w:rsidP="00BD1D1B">
            <w:pPr>
              <w:jc w:val="cente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c>
          <w:tcPr>
            <w:tcW w:w="4446" w:type="dxa"/>
            <w:tcBorders>
              <w:top w:val="nil"/>
              <w:left w:val="nil"/>
              <w:bottom w:val="single" w:sz="4" w:space="0" w:color="auto"/>
              <w:right w:val="single" w:sz="4" w:space="0" w:color="auto"/>
            </w:tcBorders>
            <w:shd w:val="clear" w:color="auto" w:fill="auto"/>
            <w:noWrap/>
            <w:vAlign w:val="center"/>
            <w:hideMark/>
          </w:tcPr>
          <w:p w14:paraId="7E7DD6A6"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surveillance solutions</w:t>
            </w:r>
          </w:p>
        </w:tc>
      </w:tr>
      <w:tr w:rsidR="00EE1FC8" w:rsidRPr="00EE1FC8" w14:paraId="1F657817"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79D0C8D4"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59B5680C"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diagnostics solutions</w:t>
            </w:r>
          </w:p>
        </w:tc>
      </w:tr>
      <w:tr w:rsidR="00EE1FC8" w:rsidRPr="00EE1FC8" w14:paraId="1CA2955D"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12BCDB22"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722F537B"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modelling solutions</w:t>
            </w:r>
          </w:p>
        </w:tc>
      </w:tr>
      <w:tr w:rsidR="00EE1FC8" w:rsidRPr="00EE1FC8" w14:paraId="01764F9E"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2448D80B"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1994EDDF"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eHealth solutions</w:t>
            </w:r>
          </w:p>
        </w:tc>
      </w:tr>
      <w:tr w:rsidR="00EE1FC8" w:rsidRPr="00EE1FC8" w14:paraId="76D9E5D5" w14:textId="77777777" w:rsidTr="00BD1D1B">
        <w:trPr>
          <w:trHeight w:val="420"/>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14:paraId="32D91E71" w14:textId="77777777" w:rsidR="00DA7ECF" w:rsidRPr="00EE1FC8" w:rsidRDefault="00DA7ECF" w:rsidP="00BD1D1B">
            <w:pPr>
              <w:rPr>
                <w:rFonts w:ascii="Calibri Light" w:hAnsi="Calibri Light" w:cs="Calibri Light"/>
                <w:b/>
                <w:bCs/>
                <w:sz w:val="16"/>
                <w:szCs w:val="16"/>
                <w:lang w:eastAsia="en-GB"/>
              </w:rPr>
            </w:pPr>
            <w:r w:rsidRPr="00EE1FC8">
              <w:rPr>
                <w:rFonts w:ascii="Calibri Light" w:hAnsi="Calibri Light" w:cs="Calibri Light"/>
                <w:b/>
                <w:bCs/>
                <w:sz w:val="16"/>
                <w:szCs w:val="16"/>
                <w:lang w:eastAsia="en-GB"/>
              </w:rPr>
              <w:t>Fees/payments for contracting-in of private hospital facilities/hotels and service providers</w:t>
            </w:r>
          </w:p>
        </w:tc>
        <w:tc>
          <w:tcPr>
            <w:tcW w:w="4446" w:type="dxa"/>
            <w:tcBorders>
              <w:top w:val="nil"/>
              <w:left w:val="nil"/>
              <w:bottom w:val="single" w:sz="4" w:space="0" w:color="auto"/>
              <w:right w:val="single" w:sz="4" w:space="0" w:color="auto"/>
            </w:tcBorders>
            <w:shd w:val="clear" w:color="auto" w:fill="auto"/>
            <w:noWrap/>
            <w:vAlign w:val="center"/>
            <w:hideMark/>
          </w:tcPr>
          <w:p w14:paraId="4E7197D0"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r>
      <w:tr w:rsidR="00EE1FC8" w:rsidRPr="00EE1FC8" w14:paraId="209D975F" w14:textId="77777777" w:rsidTr="00BD1D1B">
        <w:trPr>
          <w:trHeight w:val="285"/>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14:paraId="205307AE" w14:textId="77777777" w:rsidR="00DA7ECF" w:rsidRPr="00EE1FC8" w:rsidRDefault="00DA7ECF" w:rsidP="00BD1D1B">
            <w:pPr>
              <w:jc w:val="center"/>
              <w:rPr>
                <w:rFonts w:ascii="Calibri Light" w:hAnsi="Calibri Light" w:cs="Calibri Light"/>
                <w:sz w:val="16"/>
                <w:szCs w:val="16"/>
                <w:lang w:eastAsia="en-GB"/>
              </w:rPr>
            </w:pPr>
            <w:r w:rsidRPr="00EE1FC8">
              <w:rPr>
                <w:rFonts w:ascii="Calibri Light" w:hAnsi="Calibri Light" w:cs="Calibri Light"/>
                <w:sz w:val="16"/>
                <w:szCs w:val="16"/>
                <w:lang w:eastAsia="en-GB"/>
              </w:rPr>
              <w:t>( for epidemiological, clinical and support services)</w:t>
            </w:r>
          </w:p>
        </w:tc>
        <w:tc>
          <w:tcPr>
            <w:tcW w:w="4446" w:type="dxa"/>
            <w:tcBorders>
              <w:top w:val="nil"/>
              <w:left w:val="nil"/>
              <w:bottom w:val="single" w:sz="4" w:space="0" w:color="auto"/>
              <w:right w:val="single" w:sz="4" w:space="0" w:color="auto"/>
            </w:tcBorders>
            <w:shd w:val="clear" w:color="auto" w:fill="auto"/>
            <w:noWrap/>
            <w:vAlign w:val="center"/>
            <w:hideMark/>
          </w:tcPr>
          <w:p w14:paraId="2C5A55E2"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extra beds fees</w:t>
            </w:r>
          </w:p>
        </w:tc>
      </w:tr>
      <w:tr w:rsidR="00EE1FC8" w:rsidRPr="00EE1FC8" w14:paraId="2E1DEC0D"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58C4C9F0"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1083DF65"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facilities / units rental</w:t>
            </w:r>
          </w:p>
        </w:tc>
      </w:tr>
      <w:tr w:rsidR="00EE1FC8" w:rsidRPr="00EE1FC8" w14:paraId="4FFC0489"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4CF577B4"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7FFE0B14"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equipment rental</w:t>
            </w:r>
          </w:p>
        </w:tc>
      </w:tr>
      <w:tr w:rsidR="00EE1FC8" w:rsidRPr="00EE1FC8" w14:paraId="2CF4545F"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1246E8CB"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455D723C"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diagnostic services</w:t>
            </w:r>
          </w:p>
        </w:tc>
      </w:tr>
      <w:tr w:rsidR="00EE1FC8" w:rsidRPr="00EE1FC8" w14:paraId="00192E7B"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34557B8E"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4E71D585"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xml:space="preserve">additional activities </w:t>
            </w:r>
          </w:p>
        </w:tc>
      </w:tr>
      <w:tr w:rsidR="00EE1FC8" w:rsidRPr="00EE1FC8" w14:paraId="34F4956A"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6118CC05"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0F57C386"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w:t>
            </w:r>
          </w:p>
        </w:tc>
      </w:tr>
      <w:tr w:rsidR="00EE1FC8" w:rsidRPr="00EE1FC8" w14:paraId="5C82DD05"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2614E404"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0A7C457F"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r>
      <w:tr w:rsidR="00EE1FC8" w:rsidRPr="00EE1FC8" w14:paraId="28457F13" w14:textId="77777777" w:rsidTr="00BD1D1B">
        <w:trPr>
          <w:trHeight w:val="285"/>
        </w:trPr>
        <w:tc>
          <w:tcPr>
            <w:tcW w:w="4904" w:type="dxa"/>
            <w:tcBorders>
              <w:top w:val="nil"/>
              <w:left w:val="single" w:sz="4" w:space="0" w:color="auto"/>
              <w:bottom w:val="single" w:sz="4" w:space="0" w:color="auto"/>
              <w:right w:val="single" w:sz="4" w:space="0" w:color="auto"/>
            </w:tcBorders>
            <w:shd w:val="clear" w:color="000000" w:fill="D9D9D9"/>
            <w:noWrap/>
            <w:vAlign w:val="center"/>
            <w:hideMark/>
          </w:tcPr>
          <w:p w14:paraId="2365F863" w14:textId="77777777" w:rsidR="00DA7ECF" w:rsidRPr="00EE1FC8" w:rsidRDefault="00DA7ECF" w:rsidP="00BD1D1B">
            <w:pPr>
              <w:rPr>
                <w:rFonts w:ascii="Calibri Light" w:hAnsi="Calibri Light" w:cs="Calibri Light"/>
                <w:b/>
                <w:bCs/>
                <w:sz w:val="16"/>
                <w:szCs w:val="16"/>
                <w:lang w:eastAsia="en-GB"/>
              </w:rPr>
            </w:pPr>
            <w:r w:rsidRPr="00EE1FC8">
              <w:rPr>
                <w:rFonts w:ascii="Calibri Light" w:hAnsi="Calibri Light" w:cs="Calibri Light"/>
                <w:b/>
                <w:bCs/>
                <w:sz w:val="16"/>
                <w:szCs w:val="16"/>
                <w:lang w:eastAsia="en-GB"/>
              </w:rPr>
              <w:t xml:space="preserve">Supply chain management and warehousing </w:t>
            </w:r>
          </w:p>
        </w:tc>
        <w:tc>
          <w:tcPr>
            <w:tcW w:w="4446" w:type="dxa"/>
            <w:tcBorders>
              <w:top w:val="nil"/>
              <w:left w:val="nil"/>
              <w:bottom w:val="single" w:sz="4" w:space="0" w:color="auto"/>
              <w:right w:val="single" w:sz="4" w:space="0" w:color="auto"/>
            </w:tcBorders>
            <w:shd w:val="clear" w:color="auto" w:fill="auto"/>
            <w:noWrap/>
            <w:vAlign w:val="center"/>
            <w:hideMark/>
          </w:tcPr>
          <w:p w14:paraId="19F6B334"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r>
      <w:tr w:rsidR="00EE1FC8" w:rsidRPr="00EE1FC8" w14:paraId="2F29F568" w14:textId="77777777" w:rsidTr="00BD1D1B">
        <w:trPr>
          <w:trHeight w:val="285"/>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14:paraId="0D28C3B0" w14:textId="77777777" w:rsidR="00DA7ECF" w:rsidRPr="00EE1FC8" w:rsidRDefault="00DA7ECF" w:rsidP="00BD1D1B">
            <w:pPr>
              <w:jc w:val="cente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c>
          <w:tcPr>
            <w:tcW w:w="4446" w:type="dxa"/>
            <w:tcBorders>
              <w:top w:val="nil"/>
              <w:left w:val="nil"/>
              <w:bottom w:val="single" w:sz="4" w:space="0" w:color="auto"/>
              <w:right w:val="single" w:sz="4" w:space="0" w:color="auto"/>
            </w:tcBorders>
            <w:shd w:val="clear" w:color="auto" w:fill="auto"/>
            <w:noWrap/>
            <w:vAlign w:val="center"/>
            <w:hideMark/>
          </w:tcPr>
          <w:p w14:paraId="6FE7EADC"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vehicle</w:t>
            </w:r>
          </w:p>
        </w:tc>
      </w:tr>
      <w:tr w:rsidR="00EE1FC8" w:rsidRPr="00EE1FC8" w14:paraId="66006199"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77B85771"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75FF80E2"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transport equipment</w:t>
            </w:r>
          </w:p>
        </w:tc>
      </w:tr>
      <w:tr w:rsidR="00EE1FC8" w:rsidRPr="00EE1FC8" w14:paraId="7F8A35EF"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37AD2265"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080D412E"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logistics activities</w:t>
            </w:r>
          </w:p>
        </w:tc>
      </w:tr>
      <w:tr w:rsidR="00EE1FC8" w:rsidRPr="00EE1FC8" w14:paraId="04F8E7A5"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744402D0"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702CE277"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warehouse set up</w:t>
            </w:r>
          </w:p>
        </w:tc>
      </w:tr>
      <w:tr w:rsidR="00EE1FC8" w:rsidRPr="00EE1FC8" w14:paraId="0DDB7593"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5BDB5485"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08465946"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storage facilities rental</w:t>
            </w:r>
          </w:p>
        </w:tc>
      </w:tr>
      <w:tr w:rsidR="00EE1FC8" w:rsidRPr="00EE1FC8" w14:paraId="0B4FCCEF"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373A4326"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512ECBDD"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supply chain management solutions</w:t>
            </w:r>
          </w:p>
        </w:tc>
      </w:tr>
      <w:tr w:rsidR="00EE1FC8" w:rsidRPr="00EE1FC8" w14:paraId="04EBFA3C" w14:textId="77777777" w:rsidTr="00BD1D1B">
        <w:trPr>
          <w:trHeight w:val="285"/>
        </w:trPr>
        <w:tc>
          <w:tcPr>
            <w:tcW w:w="49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0F7592AB" w14:textId="77777777" w:rsidR="00DA7ECF" w:rsidRPr="00EE1FC8" w:rsidRDefault="00DA7ECF" w:rsidP="00BD1D1B">
            <w:pPr>
              <w:rPr>
                <w:rFonts w:ascii="Calibri Light" w:hAnsi="Calibri Light" w:cs="Calibri Light"/>
                <w:b/>
                <w:bCs/>
                <w:sz w:val="16"/>
                <w:szCs w:val="16"/>
                <w:lang w:eastAsia="en-GB"/>
              </w:rPr>
            </w:pPr>
            <w:r w:rsidRPr="00EE1FC8">
              <w:rPr>
                <w:rFonts w:ascii="Calibri Light" w:hAnsi="Calibri Light" w:cs="Calibri Light"/>
                <w:b/>
                <w:bCs/>
                <w:sz w:val="16"/>
                <w:szCs w:val="16"/>
                <w:lang w:eastAsia="en-GB"/>
              </w:rPr>
              <w:t>Drugs supply and production</w:t>
            </w:r>
            <w:r w:rsidRPr="00EE1FC8">
              <w:rPr>
                <w:rFonts w:ascii="Calibri Light" w:hAnsi="Calibri Light" w:cs="Calibri Light"/>
                <w:sz w:val="16"/>
                <w:szCs w:val="16"/>
                <w:lang w:eastAsia="en-GB"/>
              </w:rPr>
              <w:t xml:space="preserve"> </w:t>
            </w:r>
          </w:p>
        </w:tc>
        <w:tc>
          <w:tcPr>
            <w:tcW w:w="4446" w:type="dxa"/>
            <w:tcBorders>
              <w:top w:val="nil"/>
              <w:left w:val="nil"/>
              <w:bottom w:val="single" w:sz="4" w:space="0" w:color="auto"/>
              <w:right w:val="single" w:sz="4" w:space="0" w:color="auto"/>
            </w:tcBorders>
            <w:shd w:val="clear" w:color="auto" w:fill="auto"/>
            <w:noWrap/>
            <w:vAlign w:val="center"/>
            <w:hideMark/>
          </w:tcPr>
          <w:p w14:paraId="2C88532F"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r>
      <w:tr w:rsidR="00EE1FC8" w:rsidRPr="00EE1FC8" w14:paraId="179C5765" w14:textId="77777777" w:rsidTr="00BD1D1B">
        <w:trPr>
          <w:trHeight w:val="289"/>
        </w:trPr>
        <w:tc>
          <w:tcPr>
            <w:tcW w:w="4904" w:type="dxa"/>
            <w:vMerge w:val="restart"/>
            <w:tcBorders>
              <w:top w:val="nil"/>
              <w:left w:val="single" w:sz="4" w:space="0" w:color="auto"/>
              <w:bottom w:val="single" w:sz="4" w:space="0" w:color="000000"/>
              <w:right w:val="single" w:sz="4" w:space="0" w:color="auto"/>
            </w:tcBorders>
            <w:shd w:val="clear" w:color="auto" w:fill="auto"/>
            <w:noWrap/>
            <w:hideMark/>
          </w:tcPr>
          <w:p w14:paraId="6BEB8033" w14:textId="77777777" w:rsidR="00DA7ECF" w:rsidRPr="00EE1FC8" w:rsidRDefault="00DA7ECF" w:rsidP="00BD1D1B">
            <w:pPr>
              <w:jc w:val="center"/>
              <w:rPr>
                <w:rFonts w:ascii="Calibri Light" w:hAnsi="Calibri Light" w:cs="Calibri Light"/>
                <w:sz w:val="16"/>
                <w:szCs w:val="16"/>
                <w:lang w:eastAsia="en-GB"/>
              </w:rPr>
            </w:pPr>
            <w:r w:rsidRPr="00EE1FC8">
              <w:rPr>
                <w:rFonts w:ascii="Calibri Light" w:hAnsi="Calibri Light" w:cs="Calibri Light"/>
                <w:sz w:val="16"/>
                <w:szCs w:val="16"/>
                <w:lang w:eastAsia="en-GB"/>
              </w:rPr>
              <w:t>(Especially if successful off-label treatment with already available drugs can be demonstrated)</w:t>
            </w:r>
          </w:p>
        </w:tc>
        <w:tc>
          <w:tcPr>
            <w:tcW w:w="4446" w:type="dxa"/>
            <w:tcBorders>
              <w:top w:val="nil"/>
              <w:left w:val="nil"/>
              <w:bottom w:val="single" w:sz="4" w:space="0" w:color="auto"/>
              <w:right w:val="single" w:sz="4" w:space="0" w:color="auto"/>
            </w:tcBorders>
            <w:shd w:val="clear" w:color="auto" w:fill="auto"/>
            <w:noWrap/>
            <w:vAlign w:val="center"/>
            <w:hideMark/>
          </w:tcPr>
          <w:p w14:paraId="44A20B67"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drugs supply and distribution</w:t>
            </w:r>
          </w:p>
        </w:tc>
      </w:tr>
      <w:tr w:rsidR="00EE1FC8" w:rsidRPr="00EE1FC8" w14:paraId="254B7DDA"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63D18386"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77AF909B"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production facilities expansion / scale up</w:t>
            </w:r>
          </w:p>
        </w:tc>
      </w:tr>
      <w:tr w:rsidR="00EE1FC8" w:rsidRPr="00EE1FC8" w14:paraId="120229AD" w14:textId="77777777" w:rsidTr="00BD1D1B">
        <w:trPr>
          <w:trHeight w:val="285"/>
        </w:trPr>
        <w:tc>
          <w:tcPr>
            <w:tcW w:w="4904" w:type="dxa"/>
            <w:vMerge/>
            <w:tcBorders>
              <w:top w:val="nil"/>
              <w:left w:val="single" w:sz="4" w:space="0" w:color="auto"/>
              <w:bottom w:val="single" w:sz="4" w:space="0" w:color="000000"/>
              <w:right w:val="single" w:sz="4" w:space="0" w:color="auto"/>
            </w:tcBorders>
            <w:vAlign w:val="center"/>
            <w:hideMark/>
          </w:tcPr>
          <w:p w14:paraId="5C27CB44"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7DADDCF2"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r>
      <w:tr w:rsidR="00EE1FC8" w:rsidRPr="00EE1FC8" w14:paraId="492D14A3" w14:textId="77777777" w:rsidTr="00BD1D1B">
        <w:trPr>
          <w:trHeight w:val="285"/>
        </w:trPr>
        <w:tc>
          <w:tcPr>
            <w:tcW w:w="4904"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14:paraId="78058BC4" w14:textId="77777777" w:rsidR="00DA7ECF" w:rsidRPr="00EE1FC8" w:rsidRDefault="00DA7ECF" w:rsidP="00BD1D1B">
            <w:pPr>
              <w:rPr>
                <w:rFonts w:ascii="Calibri Light" w:hAnsi="Calibri Light" w:cs="Calibri Light"/>
                <w:b/>
                <w:bCs/>
                <w:sz w:val="16"/>
                <w:szCs w:val="16"/>
                <w:lang w:eastAsia="en-GB"/>
              </w:rPr>
            </w:pPr>
            <w:r w:rsidRPr="00EE1FC8">
              <w:rPr>
                <w:rFonts w:ascii="Calibri Light" w:hAnsi="Calibri Light" w:cs="Calibri Light"/>
                <w:b/>
                <w:bCs/>
                <w:sz w:val="16"/>
                <w:szCs w:val="16"/>
                <w:lang w:eastAsia="en-GB"/>
              </w:rPr>
              <w:t>Research activities</w:t>
            </w:r>
          </w:p>
        </w:tc>
        <w:tc>
          <w:tcPr>
            <w:tcW w:w="4446" w:type="dxa"/>
            <w:tcBorders>
              <w:top w:val="nil"/>
              <w:left w:val="nil"/>
              <w:bottom w:val="single" w:sz="4" w:space="0" w:color="auto"/>
              <w:right w:val="single" w:sz="4" w:space="0" w:color="auto"/>
            </w:tcBorders>
            <w:shd w:val="clear" w:color="auto" w:fill="auto"/>
            <w:noWrap/>
            <w:vAlign w:val="center"/>
            <w:hideMark/>
          </w:tcPr>
          <w:p w14:paraId="07CFC7B5"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r>
      <w:tr w:rsidR="00EE1FC8" w:rsidRPr="00EE1FC8" w14:paraId="0C25D0CD" w14:textId="77777777" w:rsidTr="00BD1D1B">
        <w:trPr>
          <w:trHeight w:val="285"/>
        </w:trPr>
        <w:tc>
          <w:tcPr>
            <w:tcW w:w="4904" w:type="dxa"/>
            <w:vMerge w:val="restart"/>
            <w:tcBorders>
              <w:top w:val="nil"/>
              <w:left w:val="single" w:sz="4" w:space="0" w:color="auto"/>
              <w:bottom w:val="single" w:sz="4" w:space="0" w:color="000000"/>
              <w:right w:val="single" w:sz="4" w:space="0" w:color="auto"/>
            </w:tcBorders>
            <w:shd w:val="clear" w:color="auto" w:fill="auto"/>
            <w:hideMark/>
          </w:tcPr>
          <w:p w14:paraId="617D9FA8"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xml:space="preserve">Focused on SARS-CoV-2 (fundamental and applied research: virus structure, vaccines, drugs) or COVID-19 (diagnostic and treatment strategy, disease management) </w:t>
            </w:r>
          </w:p>
        </w:tc>
        <w:tc>
          <w:tcPr>
            <w:tcW w:w="4446" w:type="dxa"/>
            <w:tcBorders>
              <w:top w:val="nil"/>
              <w:left w:val="nil"/>
              <w:bottom w:val="single" w:sz="4" w:space="0" w:color="auto"/>
              <w:right w:val="single" w:sz="4" w:space="0" w:color="auto"/>
            </w:tcBorders>
            <w:shd w:val="clear" w:color="auto" w:fill="auto"/>
            <w:noWrap/>
            <w:vAlign w:val="center"/>
            <w:hideMark/>
          </w:tcPr>
          <w:p w14:paraId="2B62E632"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r>
      <w:tr w:rsidR="00EE1FC8" w:rsidRPr="00EE1FC8" w14:paraId="2811D83D" w14:textId="77777777" w:rsidTr="00BD1D1B">
        <w:trPr>
          <w:trHeight w:val="580"/>
        </w:trPr>
        <w:tc>
          <w:tcPr>
            <w:tcW w:w="4904" w:type="dxa"/>
            <w:vMerge/>
            <w:tcBorders>
              <w:top w:val="nil"/>
              <w:left w:val="single" w:sz="4" w:space="0" w:color="auto"/>
              <w:bottom w:val="single" w:sz="4" w:space="0" w:color="000000"/>
              <w:right w:val="single" w:sz="4" w:space="0" w:color="auto"/>
            </w:tcBorders>
            <w:vAlign w:val="center"/>
            <w:hideMark/>
          </w:tcPr>
          <w:p w14:paraId="21C80AA3" w14:textId="77777777" w:rsidR="00DA7ECF" w:rsidRPr="00EE1FC8" w:rsidRDefault="00DA7ECF" w:rsidP="00BD1D1B">
            <w:pPr>
              <w:rPr>
                <w:rFonts w:ascii="Calibri Light" w:hAnsi="Calibri Light" w:cs="Calibri Light"/>
                <w:sz w:val="16"/>
                <w:szCs w:val="16"/>
                <w:lang w:eastAsia="en-GB"/>
              </w:rPr>
            </w:pPr>
          </w:p>
        </w:tc>
        <w:tc>
          <w:tcPr>
            <w:tcW w:w="4446" w:type="dxa"/>
            <w:tcBorders>
              <w:top w:val="nil"/>
              <w:left w:val="nil"/>
              <w:bottom w:val="single" w:sz="4" w:space="0" w:color="auto"/>
              <w:right w:val="single" w:sz="4" w:space="0" w:color="auto"/>
            </w:tcBorders>
            <w:shd w:val="clear" w:color="auto" w:fill="auto"/>
            <w:noWrap/>
            <w:vAlign w:val="center"/>
            <w:hideMark/>
          </w:tcPr>
          <w:p w14:paraId="124CD19B" w14:textId="77777777" w:rsidR="00DA7ECF" w:rsidRPr="00EE1FC8" w:rsidRDefault="00DA7ECF" w:rsidP="00BD1D1B">
            <w:pPr>
              <w:rPr>
                <w:rFonts w:ascii="Calibri Light" w:hAnsi="Calibri Light" w:cs="Calibri Light"/>
                <w:sz w:val="16"/>
                <w:szCs w:val="16"/>
                <w:lang w:eastAsia="en-GB"/>
              </w:rPr>
            </w:pPr>
            <w:r w:rsidRPr="00EE1FC8">
              <w:rPr>
                <w:rFonts w:ascii="Calibri Light" w:hAnsi="Calibri Light" w:cs="Calibri Light"/>
                <w:sz w:val="16"/>
                <w:szCs w:val="16"/>
                <w:lang w:eastAsia="en-GB"/>
              </w:rPr>
              <w:t> </w:t>
            </w:r>
          </w:p>
        </w:tc>
      </w:tr>
    </w:tbl>
    <w:p w14:paraId="4FA16716" w14:textId="77777777" w:rsidR="00DA7ECF" w:rsidRPr="00EE1FC8" w:rsidRDefault="00DA7ECF" w:rsidP="00DA7ECF">
      <w:pPr>
        <w:spacing w:after="200" w:line="276" w:lineRule="auto"/>
        <w:rPr>
          <w:rFonts w:eastAsia="Calibri" w:cs="Arial"/>
          <w:sz w:val="16"/>
          <w:szCs w:val="16"/>
        </w:rPr>
      </w:pPr>
      <w:r w:rsidRPr="00EE1FC8">
        <w:rPr>
          <w:rFonts w:eastAsia="Calibri" w:cs="Arial"/>
          <w:sz w:val="16"/>
          <w:szCs w:val="16"/>
        </w:rPr>
        <w:t>*Other purchases similar in nature or purpose to the described categories will be eligible, if authorised by the Bank.</w:t>
      </w:r>
    </w:p>
    <w:p w14:paraId="2695D906" w14:textId="77777777" w:rsidR="00553393" w:rsidRPr="00EE1FC8" w:rsidRDefault="00553393">
      <w:pPr>
        <w:spacing w:after="200" w:line="276" w:lineRule="auto"/>
        <w:jc w:val="left"/>
      </w:pPr>
      <w:r w:rsidRPr="00EE1FC8">
        <w:br w:type="page"/>
      </w:r>
    </w:p>
    <w:p w14:paraId="7748870A" w14:textId="6216FA86" w:rsidR="00796D77" w:rsidRPr="00EE1FC8" w:rsidRDefault="00DA7ECF" w:rsidP="00F9076D">
      <w:pPr>
        <w:rPr>
          <w:b/>
        </w:rPr>
      </w:pPr>
      <w:r w:rsidRPr="00EE1FC8">
        <w:rPr>
          <w:b/>
        </w:rPr>
        <w:lastRenderedPageBreak/>
        <w:t xml:space="preserve">Annex </w:t>
      </w:r>
      <w:proofErr w:type="gramStart"/>
      <w:r w:rsidRPr="00EE1FC8">
        <w:rPr>
          <w:b/>
        </w:rPr>
        <w:t xml:space="preserve">2  </w:t>
      </w:r>
      <w:r w:rsidR="00796D77" w:rsidRPr="00EE1FC8">
        <w:rPr>
          <w:b/>
        </w:rPr>
        <w:t>Appraisal</w:t>
      </w:r>
      <w:proofErr w:type="gramEnd"/>
      <w:r w:rsidR="00796D77" w:rsidRPr="00EE1FC8">
        <w:rPr>
          <w:b/>
        </w:rPr>
        <w:t xml:space="preserve"> questionnaire (see separate file) </w:t>
      </w:r>
    </w:p>
    <w:tbl>
      <w:tblPr>
        <w:tblW w:w="9360" w:type="dxa"/>
        <w:tblInd w:w="-108" w:type="dxa"/>
        <w:tblLook w:val="04A0" w:firstRow="1" w:lastRow="0" w:firstColumn="1" w:lastColumn="0" w:noHBand="0" w:noVBand="1"/>
      </w:tblPr>
      <w:tblGrid>
        <w:gridCol w:w="9360"/>
      </w:tblGrid>
      <w:tr w:rsidR="00EE1FC8" w:rsidRPr="00EE1FC8" w14:paraId="48560076" w14:textId="77777777" w:rsidTr="00540310">
        <w:trPr>
          <w:trHeight w:val="285"/>
        </w:trPr>
        <w:tc>
          <w:tcPr>
            <w:tcW w:w="9360" w:type="dxa"/>
            <w:tcBorders>
              <w:top w:val="nil"/>
              <w:left w:val="nil"/>
              <w:bottom w:val="nil"/>
              <w:right w:val="nil"/>
            </w:tcBorders>
            <w:shd w:val="clear" w:color="auto" w:fill="auto"/>
            <w:noWrap/>
            <w:vAlign w:val="center"/>
            <w:hideMark/>
          </w:tcPr>
          <w:p w14:paraId="03B68E26" w14:textId="77777777" w:rsidR="00670524" w:rsidRPr="00EE1FC8" w:rsidRDefault="00670524" w:rsidP="00670524">
            <w:pPr>
              <w:ind w:left="360"/>
              <w:jc w:val="left"/>
              <w:rPr>
                <w:rFonts w:asciiTheme="minorHAnsi" w:hAnsiTheme="minorHAnsi" w:cstheme="minorHAnsi"/>
                <w:szCs w:val="24"/>
                <w:lang w:eastAsia="en-GB"/>
              </w:rPr>
            </w:pPr>
          </w:p>
          <w:p w14:paraId="4FA37FC6" w14:textId="0E873C04" w:rsidR="00670524" w:rsidRPr="00EE1FC8" w:rsidRDefault="00670524" w:rsidP="00670524">
            <w:pPr>
              <w:ind w:left="360"/>
              <w:jc w:val="left"/>
              <w:rPr>
                <w:rFonts w:asciiTheme="minorHAnsi" w:hAnsiTheme="minorHAnsi" w:cstheme="minorHAnsi"/>
                <w:szCs w:val="24"/>
                <w:lang w:eastAsia="en-GB"/>
              </w:rPr>
            </w:pPr>
            <w:r w:rsidRPr="00EE1FC8">
              <w:rPr>
                <w:rFonts w:asciiTheme="minorHAnsi" w:hAnsiTheme="minorHAnsi" w:cstheme="minorHAnsi"/>
                <w:szCs w:val="24"/>
                <w:lang w:eastAsia="en-GB"/>
              </w:rPr>
              <w:t>The promoter should provide the following information for appraisal:</w:t>
            </w:r>
          </w:p>
          <w:p w14:paraId="7516236A" w14:textId="77777777" w:rsidR="00670524" w:rsidRPr="00EE1FC8" w:rsidRDefault="00670524" w:rsidP="00670524">
            <w:pPr>
              <w:ind w:left="360"/>
              <w:jc w:val="left"/>
              <w:rPr>
                <w:rFonts w:asciiTheme="minorHAnsi" w:hAnsiTheme="minorHAnsi" w:cstheme="minorHAnsi"/>
                <w:szCs w:val="24"/>
                <w:lang w:eastAsia="en-GB"/>
              </w:rPr>
            </w:pPr>
          </w:p>
          <w:p w14:paraId="54973841" w14:textId="52C037E7" w:rsidR="00670524" w:rsidRPr="00EE1FC8" w:rsidRDefault="00670524" w:rsidP="00553393">
            <w:pPr>
              <w:ind w:left="360"/>
              <w:jc w:val="left"/>
              <w:rPr>
                <w:rFonts w:asciiTheme="minorHAnsi" w:hAnsiTheme="minorHAnsi" w:cstheme="minorHAnsi"/>
                <w:szCs w:val="24"/>
                <w:lang w:eastAsia="en-GB"/>
              </w:rPr>
            </w:pPr>
            <w:r w:rsidRPr="00EE1FC8">
              <w:rPr>
                <w:rFonts w:asciiTheme="minorHAnsi" w:hAnsiTheme="minorHAnsi" w:cstheme="minorHAnsi"/>
                <w:szCs w:val="24"/>
                <w:lang w:eastAsia="en-GB"/>
              </w:rPr>
              <w:t xml:space="preserve">1. The SARS-CoV-2 national or regional pandemic plan </w:t>
            </w:r>
            <w:r w:rsidR="00F771A7" w:rsidRPr="00EE1FC8">
              <w:rPr>
                <w:rFonts w:asciiTheme="minorHAnsi" w:hAnsiTheme="minorHAnsi" w:cstheme="minorHAnsi"/>
                <w:szCs w:val="24"/>
                <w:lang w:eastAsia="en-GB"/>
              </w:rPr>
              <w:t xml:space="preserve">(legal framework for emergency response), </w:t>
            </w:r>
            <w:r w:rsidRPr="00EE1FC8">
              <w:rPr>
                <w:rFonts w:asciiTheme="minorHAnsi" w:hAnsiTheme="minorHAnsi" w:cstheme="minorHAnsi"/>
                <w:szCs w:val="24"/>
                <w:lang w:eastAsia="en-GB"/>
              </w:rPr>
              <w:t>indicat</w:t>
            </w:r>
            <w:r w:rsidR="00F771A7" w:rsidRPr="00EE1FC8">
              <w:rPr>
                <w:rFonts w:asciiTheme="minorHAnsi" w:hAnsiTheme="minorHAnsi" w:cstheme="minorHAnsi"/>
                <w:szCs w:val="24"/>
                <w:lang w:eastAsia="en-GB"/>
              </w:rPr>
              <w:t>ing</w:t>
            </w:r>
            <w:r w:rsidRPr="00EE1FC8">
              <w:rPr>
                <w:rFonts w:asciiTheme="minorHAnsi" w:hAnsiTheme="minorHAnsi" w:cstheme="minorHAnsi"/>
                <w:szCs w:val="24"/>
                <w:lang w:eastAsia="en-GB"/>
              </w:rPr>
              <w:t xml:space="preserve"> areas with existing gaps.</w:t>
            </w:r>
          </w:p>
        </w:tc>
      </w:tr>
      <w:tr w:rsidR="00EE1FC8" w:rsidRPr="00EE1FC8" w14:paraId="47121822" w14:textId="77777777" w:rsidTr="00540310">
        <w:trPr>
          <w:trHeight w:val="285"/>
        </w:trPr>
        <w:tc>
          <w:tcPr>
            <w:tcW w:w="9360" w:type="dxa"/>
            <w:tcBorders>
              <w:top w:val="nil"/>
              <w:left w:val="nil"/>
              <w:bottom w:val="nil"/>
              <w:right w:val="nil"/>
            </w:tcBorders>
            <w:shd w:val="clear" w:color="auto" w:fill="auto"/>
            <w:noWrap/>
            <w:vAlign w:val="center"/>
            <w:hideMark/>
          </w:tcPr>
          <w:p w14:paraId="265C8975" w14:textId="73827D75" w:rsidR="00670524" w:rsidRPr="00EE1FC8" w:rsidRDefault="00670524" w:rsidP="00670524">
            <w:pPr>
              <w:ind w:left="360"/>
              <w:jc w:val="left"/>
              <w:rPr>
                <w:rFonts w:asciiTheme="minorHAnsi" w:hAnsiTheme="minorHAnsi" w:cstheme="minorHAnsi"/>
                <w:szCs w:val="24"/>
                <w:lang w:eastAsia="en-GB"/>
              </w:rPr>
            </w:pPr>
            <w:r w:rsidRPr="00EE1FC8">
              <w:rPr>
                <w:rFonts w:asciiTheme="minorHAnsi" w:hAnsiTheme="minorHAnsi" w:cstheme="minorHAnsi"/>
                <w:szCs w:val="24"/>
                <w:lang w:eastAsia="en-GB"/>
              </w:rPr>
              <w:t>2. Description of the coordination responsibilities and organizational structure of the national and /or regional plan response.</w:t>
            </w:r>
          </w:p>
        </w:tc>
      </w:tr>
      <w:tr w:rsidR="00EE1FC8" w:rsidRPr="00EE1FC8" w14:paraId="2AF3712A" w14:textId="77777777" w:rsidTr="00540310">
        <w:trPr>
          <w:trHeight w:val="285"/>
        </w:trPr>
        <w:tc>
          <w:tcPr>
            <w:tcW w:w="9360" w:type="dxa"/>
            <w:tcBorders>
              <w:top w:val="nil"/>
              <w:left w:val="nil"/>
              <w:bottom w:val="nil"/>
              <w:right w:val="nil"/>
            </w:tcBorders>
            <w:shd w:val="clear" w:color="auto" w:fill="auto"/>
            <w:noWrap/>
            <w:vAlign w:val="center"/>
            <w:hideMark/>
          </w:tcPr>
          <w:p w14:paraId="1C34A6E5" w14:textId="06643995" w:rsidR="00670524" w:rsidRPr="00EE1FC8" w:rsidRDefault="00670524" w:rsidP="00553393">
            <w:pPr>
              <w:ind w:left="360"/>
              <w:jc w:val="left"/>
              <w:rPr>
                <w:rFonts w:asciiTheme="minorHAnsi" w:hAnsiTheme="minorHAnsi" w:cstheme="minorHAnsi"/>
                <w:szCs w:val="24"/>
                <w:lang w:eastAsia="en-GB"/>
              </w:rPr>
            </w:pPr>
            <w:r w:rsidRPr="00EE1FC8">
              <w:rPr>
                <w:rFonts w:asciiTheme="minorHAnsi" w:hAnsiTheme="minorHAnsi" w:cstheme="minorHAnsi"/>
                <w:szCs w:val="24"/>
                <w:lang w:eastAsia="en-GB"/>
              </w:rPr>
              <w:t xml:space="preserve">3. Completed table (see </w:t>
            </w:r>
            <w:r w:rsidR="00553393" w:rsidRPr="00EE1FC8">
              <w:rPr>
                <w:rFonts w:asciiTheme="minorHAnsi" w:hAnsiTheme="minorHAnsi" w:cstheme="minorHAnsi"/>
                <w:szCs w:val="24"/>
                <w:lang w:eastAsia="en-GB"/>
              </w:rPr>
              <w:t xml:space="preserve">attached Excel </w:t>
            </w:r>
            <w:r w:rsidRPr="00EE1FC8">
              <w:rPr>
                <w:rFonts w:asciiTheme="minorHAnsi" w:hAnsiTheme="minorHAnsi" w:cstheme="minorHAnsi"/>
                <w:szCs w:val="24"/>
                <w:lang w:eastAsia="en-GB"/>
              </w:rPr>
              <w:t xml:space="preserve">file) specifying how the different cost items are aligned with the SARS-CoV-2 national or regional pandemic plan, the gaps addressed, </w:t>
            </w:r>
            <w:r w:rsidR="00553393" w:rsidRPr="00EE1FC8">
              <w:rPr>
                <w:rFonts w:asciiTheme="minorHAnsi" w:hAnsiTheme="minorHAnsi" w:cstheme="minorHAnsi"/>
                <w:szCs w:val="24"/>
                <w:lang w:eastAsia="en-GB"/>
              </w:rPr>
              <w:t xml:space="preserve">a preliminary </w:t>
            </w:r>
            <w:r w:rsidRPr="00EE1FC8">
              <w:rPr>
                <w:rFonts w:asciiTheme="minorHAnsi" w:hAnsiTheme="minorHAnsi" w:cstheme="minorHAnsi"/>
                <w:szCs w:val="24"/>
                <w:lang w:eastAsia="en-GB"/>
              </w:rPr>
              <w:t xml:space="preserve">procurement </w:t>
            </w:r>
            <w:r w:rsidR="00553393" w:rsidRPr="00EE1FC8">
              <w:rPr>
                <w:rFonts w:asciiTheme="minorHAnsi" w:hAnsiTheme="minorHAnsi" w:cstheme="minorHAnsi"/>
                <w:szCs w:val="24"/>
                <w:lang w:eastAsia="en-GB"/>
              </w:rPr>
              <w:t xml:space="preserve">plan, </w:t>
            </w:r>
            <w:r w:rsidRPr="00EE1FC8">
              <w:rPr>
                <w:rFonts w:asciiTheme="minorHAnsi" w:hAnsiTheme="minorHAnsi" w:cstheme="minorHAnsi"/>
                <w:szCs w:val="24"/>
                <w:lang w:eastAsia="en-GB"/>
              </w:rPr>
              <w:t xml:space="preserve">and the location of use. </w:t>
            </w:r>
          </w:p>
        </w:tc>
      </w:tr>
      <w:tr w:rsidR="00EE1FC8" w:rsidRPr="00EE1FC8" w14:paraId="09700DA4" w14:textId="77777777" w:rsidTr="00540310">
        <w:trPr>
          <w:trHeight w:val="285"/>
        </w:trPr>
        <w:tc>
          <w:tcPr>
            <w:tcW w:w="9360" w:type="dxa"/>
            <w:tcBorders>
              <w:top w:val="nil"/>
              <w:left w:val="nil"/>
              <w:bottom w:val="nil"/>
              <w:right w:val="nil"/>
            </w:tcBorders>
            <w:shd w:val="clear" w:color="auto" w:fill="auto"/>
            <w:noWrap/>
            <w:vAlign w:val="center"/>
            <w:hideMark/>
          </w:tcPr>
          <w:p w14:paraId="58492728" w14:textId="77777777" w:rsidR="00670524" w:rsidRPr="00EE1FC8" w:rsidRDefault="00670524" w:rsidP="00670524">
            <w:pPr>
              <w:ind w:left="360"/>
              <w:jc w:val="left"/>
              <w:rPr>
                <w:rFonts w:asciiTheme="minorHAnsi" w:hAnsiTheme="minorHAnsi" w:cstheme="minorHAnsi"/>
                <w:szCs w:val="24"/>
                <w:lang w:eastAsia="en-GB"/>
              </w:rPr>
            </w:pPr>
            <w:r w:rsidRPr="00EE1FC8">
              <w:rPr>
                <w:rFonts w:asciiTheme="minorHAnsi" w:hAnsiTheme="minorHAnsi" w:cstheme="minorHAnsi"/>
                <w:szCs w:val="24"/>
                <w:lang w:eastAsia="en-GB"/>
              </w:rPr>
              <w:t xml:space="preserve">4. Promoter confirmation of sufficient staff resources for implementation of emergency resources </w:t>
            </w:r>
          </w:p>
        </w:tc>
      </w:tr>
      <w:tr w:rsidR="00EE1FC8" w:rsidRPr="00EE1FC8" w14:paraId="53D4007C" w14:textId="77777777" w:rsidTr="00540310">
        <w:trPr>
          <w:trHeight w:val="285"/>
        </w:trPr>
        <w:tc>
          <w:tcPr>
            <w:tcW w:w="9360" w:type="dxa"/>
            <w:tcBorders>
              <w:top w:val="nil"/>
              <w:left w:val="nil"/>
              <w:bottom w:val="nil"/>
              <w:right w:val="nil"/>
            </w:tcBorders>
            <w:shd w:val="clear" w:color="auto" w:fill="auto"/>
            <w:noWrap/>
            <w:vAlign w:val="center"/>
            <w:hideMark/>
          </w:tcPr>
          <w:p w14:paraId="2AC7F378" w14:textId="2910DAD2" w:rsidR="00670524" w:rsidRPr="00EE1FC8" w:rsidRDefault="00670524" w:rsidP="00670524">
            <w:pPr>
              <w:ind w:left="360"/>
              <w:jc w:val="left"/>
              <w:rPr>
                <w:rFonts w:asciiTheme="minorHAnsi" w:hAnsiTheme="minorHAnsi" w:cstheme="minorHAnsi"/>
                <w:szCs w:val="24"/>
                <w:lang w:eastAsia="en-GB"/>
              </w:rPr>
            </w:pPr>
            <w:r w:rsidRPr="00EE1FC8">
              <w:rPr>
                <w:rFonts w:asciiTheme="minorHAnsi" w:hAnsiTheme="minorHAnsi" w:cstheme="minorHAnsi"/>
                <w:szCs w:val="24"/>
                <w:lang w:eastAsia="en-GB"/>
              </w:rPr>
              <w:t>5. Sources of co-financing (if any)</w:t>
            </w:r>
          </w:p>
        </w:tc>
      </w:tr>
      <w:tr w:rsidR="00EE1FC8" w:rsidRPr="00EE1FC8" w14:paraId="759589CE" w14:textId="77777777" w:rsidTr="00540310">
        <w:trPr>
          <w:trHeight w:val="285"/>
        </w:trPr>
        <w:tc>
          <w:tcPr>
            <w:tcW w:w="9360" w:type="dxa"/>
            <w:tcBorders>
              <w:top w:val="nil"/>
              <w:left w:val="nil"/>
              <w:bottom w:val="nil"/>
              <w:right w:val="nil"/>
            </w:tcBorders>
            <w:shd w:val="clear" w:color="auto" w:fill="auto"/>
            <w:noWrap/>
            <w:vAlign w:val="center"/>
            <w:hideMark/>
          </w:tcPr>
          <w:p w14:paraId="0723703D" w14:textId="34DD5A77" w:rsidR="00670524" w:rsidRPr="00EE1FC8" w:rsidRDefault="00670524" w:rsidP="00670524">
            <w:pPr>
              <w:ind w:left="360"/>
              <w:jc w:val="left"/>
              <w:rPr>
                <w:rFonts w:asciiTheme="minorHAnsi" w:hAnsiTheme="minorHAnsi" w:cstheme="minorHAnsi"/>
                <w:szCs w:val="24"/>
                <w:lang w:eastAsia="en-GB"/>
              </w:rPr>
            </w:pPr>
            <w:r w:rsidRPr="00EE1FC8">
              <w:rPr>
                <w:rFonts w:asciiTheme="minorHAnsi" w:hAnsiTheme="minorHAnsi" w:cstheme="minorHAnsi"/>
                <w:szCs w:val="24"/>
                <w:lang w:eastAsia="en-GB"/>
              </w:rPr>
              <w:t xml:space="preserve">6. Nomination of a contact person in promoter response team, and contact details </w:t>
            </w:r>
          </w:p>
        </w:tc>
      </w:tr>
    </w:tbl>
    <w:p w14:paraId="64F7DF04" w14:textId="43D499A0" w:rsidR="00DA7ECF" w:rsidRPr="00EE1FC8" w:rsidRDefault="00DA7ECF" w:rsidP="00F9076D">
      <w:pPr>
        <w:rPr>
          <w:rFonts w:asciiTheme="minorHAnsi" w:hAnsiTheme="minorHAnsi" w:cstheme="minorHAnsi"/>
          <w:szCs w:val="24"/>
        </w:rPr>
      </w:pPr>
    </w:p>
    <w:p w14:paraId="4E1655DB" w14:textId="49E89E61" w:rsidR="00DA7ECF" w:rsidRPr="00EE1FC8" w:rsidRDefault="00DA7ECF" w:rsidP="00F9076D"/>
    <w:p w14:paraId="7C10D7AF" w14:textId="77777777" w:rsidR="00DA7ECF" w:rsidRPr="00EE1FC8" w:rsidRDefault="00DA7ECF" w:rsidP="00F9076D"/>
    <w:p w14:paraId="1710C3D1" w14:textId="77777777" w:rsidR="00553393" w:rsidRPr="00EE1FC8" w:rsidRDefault="00553393">
      <w:pPr>
        <w:spacing w:after="200" w:line="276" w:lineRule="auto"/>
        <w:jc w:val="left"/>
      </w:pPr>
      <w:r w:rsidRPr="00EE1FC8">
        <w:br w:type="page"/>
      </w:r>
    </w:p>
    <w:p w14:paraId="62100C6A" w14:textId="68E78627" w:rsidR="00B6055F" w:rsidRPr="00EE1FC8" w:rsidRDefault="00796D77" w:rsidP="003670A9">
      <w:pPr>
        <w:rPr>
          <w:b/>
          <w:u w:val="single"/>
        </w:rPr>
      </w:pPr>
      <w:bookmarkStart w:id="0" w:name="_GoBack"/>
      <w:r w:rsidRPr="00EE1FC8">
        <w:rPr>
          <w:b/>
          <w:u w:val="single"/>
        </w:rPr>
        <w:lastRenderedPageBreak/>
        <w:t>A</w:t>
      </w:r>
      <w:r w:rsidR="007B4254" w:rsidRPr="00EE1FC8">
        <w:rPr>
          <w:b/>
          <w:u w:val="single"/>
        </w:rPr>
        <w:t xml:space="preserve">NNEX </w:t>
      </w:r>
      <w:r w:rsidRPr="00EE1FC8">
        <w:rPr>
          <w:b/>
          <w:u w:val="single"/>
        </w:rPr>
        <w:t>4</w:t>
      </w:r>
      <w:r w:rsidR="00F2182F" w:rsidRPr="00EE1FC8">
        <w:rPr>
          <w:b/>
          <w:u w:val="single"/>
        </w:rPr>
        <w:t>:</w:t>
      </w:r>
      <w:r w:rsidR="003670A9" w:rsidRPr="00EE1FC8">
        <w:rPr>
          <w:b/>
          <w:u w:val="single"/>
        </w:rPr>
        <w:t xml:space="preserve"> </w:t>
      </w:r>
      <w:r w:rsidR="00F771A7" w:rsidRPr="00EE1FC8">
        <w:rPr>
          <w:b/>
          <w:u w:val="single"/>
        </w:rPr>
        <w:t xml:space="preserve">Examples </w:t>
      </w:r>
      <w:r w:rsidR="00B6055F" w:rsidRPr="00EE1FC8">
        <w:rPr>
          <w:b/>
          <w:u w:val="single"/>
        </w:rPr>
        <w:t>of possible emergency investment needs and settings</w:t>
      </w:r>
    </w:p>
    <w:p w14:paraId="1CB91FD8" w14:textId="5D96EC8B" w:rsidR="00B6055F" w:rsidRPr="00EE1FC8" w:rsidRDefault="00B6055F" w:rsidP="00F9076D">
      <w:pPr>
        <w:rPr>
          <w:b/>
        </w:rPr>
      </w:pPr>
    </w:p>
    <w:bookmarkEnd w:id="0"/>
    <w:p w14:paraId="01FD8683" w14:textId="133062EF" w:rsidR="00703FDE" w:rsidRPr="00EE1FC8" w:rsidRDefault="00703FDE" w:rsidP="00F9076D">
      <w:pPr>
        <w:rPr>
          <w:b/>
        </w:rPr>
      </w:pPr>
      <w:r w:rsidRPr="00EE1FC8">
        <w:rPr>
          <w:b/>
        </w:rPr>
        <w:t>Treatment</w:t>
      </w:r>
      <w:r w:rsidR="00553393" w:rsidRPr="00EE1FC8">
        <w:rPr>
          <w:b/>
        </w:rPr>
        <w:t xml:space="preserve"> facilities</w:t>
      </w:r>
    </w:p>
    <w:p w14:paraId="532D77CB" w14:textId="77777777" w:rsidR="00F2182F" w:rsidRPr="00EE1FC8" w:rsidRDefault="00F2182F" w:rsidP="00F9076D">
      <w:pPr>
        <w:rPr>
          <w:b/>
        </w:rPr>
      </w:pPr>
    </w:p>
    <w:p w14:paraId="14E9F334" w14:textId="77777777" w:rsidR="001903FF" w:rsidRPr="00EE1FC8" w:rsidRDefault="00B6055F" w:rsidP="00F2182F">
      <w:pPr>
        <w:pStyle w:val="ListParagraph"/>
        <w:numPr>
          <w:ilvl w:val="0"/>
          <w:numId w:val="8"/>
        </w:numPr>
        <w:rPr>
          <w:rFonts w:ascii="Calibri" w:hAnsi="Calibri"/>
          <w:sz w:val="22"/>
        </w:rPr>
      </w:pPr>
      <w:r w:rsidRPr="00EE1FC8">
        <w:t xml:space="preserve">Separation / isolation of a session of an ICU or sub-intensive areas for </w:t>
      </w:r>
      <w:r w:rsidR="00CD1EEE" w:rsidRPr="00EE1FC8">
        <w:t>COVID-19</w:t>
      </w:r>
      <w:r w:rsidRPr="00EE1FC8">
        <w:t xml:space="preserve"> patients, which will require maybe additional barriers / filtering tha</w:t>
      </w:r>
      <w:r w:rsidR="00D32059" w:rsidRPr="00EE1FC8">
        <w:t>t could be temporary (plastic c</w:t>
      </w:r>
      <w:r w:rsidRPr="00EE1FC8">
        <w:t xml:space="preserve">urtains and so on). </w:t>
      </w:r>
    </w:p>
    <w:p w14:paraId="1186AB0F" w14:textId="77777777" w:rsidR="00F2182F" w:rsidRPr="00EE1FC8" w:rsidRDefault="00F2182F" w:rsidP="00F2182F">
      <w:pPr>
        <w:pStyle w:val="ListParagraph"/>
        <w:rPr>
          <w:rFonts w:ascii="Calibri" w:hAnsi="Calibri"/>
          <w:sz w:val="22"/>
        </w:rPr>
      </w:pPr>
    </w:p>
    <w:p w14:paraId="1EAF4462" w14:textId="5B7DF19F" w:rsidR="001903FF" w:rsidRPr="00EE1FC8" w:rsidRDefault="00B6055F" w:rsidP="001903FF">
      <w:pPr>
        <w:pStyle w:val="ListParagraph"/>
        <w:numPr>
          <w:ilvl w:val="0"/>
          <w:numId w:val="8"/>
        </w:numPr>
        <w:rPr>
          <w:b/>
        </w:rPr>
      </w:pPr>
      <w:r w:rsidRPr="00EE1FC8">
        <w:t xml:space="preserve">Adaptations (separation / isolation) of wards areas (for example </w:t>
      </w:r>
      <w:r w:rsidR="00D32059" w:rsidRPr="00EE1FC8">
        <w:t>pulmonology</w:t>
      </w:r>
      <w:r w:rsidRPr="00EE1FC8">
        <w:t xml:space="preserve">) for </w:t>
      </w:r>
      <w:r w:rsidR="00CD1EEE" w:rsidRPr="00EE1FC8">
        <w:t>COVID-19</w:t>
      </w:r>
      <w:r w:rsidRPr="00EE1FC8">
        <w:t xml:space="preserve"> patients, that maybe do not need intubation but milder ventilation support (oxygen therapy and CPAP). </w:t>
      </w:r>
    </w:p>
    <w:p w14:paraId="3D686D3B" w14:textId="77777777" w:rsidR="001903FF" w:rsidRPr="00EE1FC8" w:rsidRDefault="001903FF" w:rsidP="001903FF">
      <w:pPr>
        <w:rPr>
          <w:b/>
        </w:rPr>
      </w:pPr>
    </w:p>
    <w:p w14:paraId="1A7101BE" w14:textId="44DF1654" w:rsidR="00703FDE" w:rsidRPr="00EE1FC8" w:rsidRDefault="00703FDE" w:rsidP="001903FF">
      <w:pPr>
        <w:rPr>
          <w:b/>
        </w:rPr>
      </w:pPr>
      <w:r w:rsidRPr="00EE1FC8">
        <w:rPr>
          <w:b/>
        </w:rPr>
        <w:t>Back-up and contingency capacity</w:t>
      </w:r>
    </w:p>
    <w:p w14:paraId="32B11F42" w14:textId="743C9930" w:rsidR="00B6055F" w:rsidRPr="00EE1FC8" w:rsidRDefault="00B6055F" w:rsidP="00F2182F">
      <w:pPr>
        <w:pStyle w:val="ListParagraph"/>
      </w:pPr>
    </w:p>
    <w:p w14:paraId="2E243A06" w14:textId="77777777" w:rsidR="001903FF" w:rsidRPr="00EE1FC8" w:rsidRDefault="00703FDE" w:rsidP="001903FF">
      <w:pPr>
        <w:pStyle w:val="ListParagraph"/>
        <w:numPr>
          <w:ilvl w:val="0"/>
          <w:numId w:val="8"/>
        </w:numPr>
      </w:pPr>
      <w:r w:rsidRPr="00EE1FC8">
        <w:rPr>
          <w:b/>
        </w:rPr>
        <w:t>O</w:t>
      </w:r>
      <w:r w:rsidR="00B6055F" w:rsidRPr="00EE1FC8">
        <w:rPr>
          <w:b/>
        </w:rPr>
        <w:t>bservation areas</w:t>
      </w:r>
      <w:r w:rsidR="00B6055F" w:rsidRPr="00EE1FC8">
        <w:t xml:space="preserve"> </w:t>
      </w:r>
      <w:r w:rsidRPr="00EE1FC8">
        <w:t xml:space="preserve">without </w:t>
      </w:r>
      <w:r w:rsidR="00B6055F" w:rsidRPr="00EE1FC8">
        <w:t>central medical gases piping</w:t>
      </w:r>
      <w:r w:rsidRPr="00EE1FC8">
        <w:t xml:space="preserve"> may require </w:t>
      </w:r>
      <w:r w:rsidR="00B6055F" w:rsidRPr="00EE1FC8">
        <w:t>mobile oxygen concentrators (with tubes and masks), or transport oxygen bottles (with flowmeters, tubes and masks), plus transport monitors for vital signs</w:t>
      </w:r>
    </w:p>
    <w:p w14:paraId="50305E85" w14:textId="77777777" w:rsidR="00F2182F" w:rsidRPr="00EE1FC8" w:rsidRDefault="00F2182F" w:rsidP="001903FF">
      <w:pPr>
        <w:pStyle w:val="ListParagraph"/>
      </w:pPr>
    </w:p>
    <w:p w14:paraId="06A0AC6C" w14:textId="3ED2B386" w:rsidR="00F2182F" w:rsidRPr="00EE1FC8" w:rsidRDefault="00F2182F" w:rsidP="00F2182F">
      <w:pPr>
        <w:pStyle w:val="ListParagraph"/>
        <w:numPr>
          <w:ilvl w:val="0"/>
          <w:numId w:val="8"/>
        </w:numPr>
      </w:pPr>
      <w:proofErr w:type="gramStart"/>
      <w:r w:rsidRPr="00EE1FC8">
        <w:rPr>
          <w:b/>
        </w:rPr>
        <w:t>Mobile container isolation units</w:t>
      </w:r>
      <w:proofErr w:type="gramEnd"/>
      <w:r w:rsidRPr="00EE1FC8">
        <w:t xml:space="preserve">: For specific cases containerized ICU, with proper filtering and pressure controls, already set up with equipment. There are different suppliers of these systems that can be quickly deployed where needed and </w:t>
      </w:r>
      <w:proofErr w:type="gramStart"/>
      <w:r w:rsidRPr="00EE1FC8">
        <w:t>connected</w:t>
      </w:r>
      <w:proofErr w:type="gramEnd"/>
      <w:r w:rsidRPr="00EE1FC8">
        <w:t xml:space="preserve"> to the main electrical and gas piping system, or again supplied with dedicated diesel power generators and oxygen generators system. An alternative is the tent-type field hospitals used for earthquake situations or emergencies / disaster response in genera</w:t>
      </w:r>
      <w:r w:rsidR="001903FF" w:rsidRPr="00EE1FC8">
        <w:t>l</w:t>
      </w:r>
      <w:r w:rsidRPr="00EE1FC8">
        <w:t xml:space="preserve">. </w:t>
      </w:r>
    </w:p>
    <w:p w14:paraId="54AEE2E7" w14:textId="77777777" w:rsidR="00703FDE" w:rsidRPr="00EE1FC8" w:rsidRDefault="00703FDE" w:rsidP="00F2182F">
      <w:pPr>
        <w:pStyle w:val="ListParagraph"/>
      </w:pPr>
    </w:p>
    <w:p w14:paraId="1D0FBB8C" w14:textId="77777777" w:rsidR="00703FDE" w:rsidRPr="00EE1FC8" w:rsidRDefault="00703FDE" w:rsidP="00F2182F">
      <w:pPr>
        <w:pStyle w:val="ListParagraph"/>
        <w:numPr>
          <w:ilvl w:val="0"/>
          <w:numId w:val="8"/>
        </w:numPr>
        <w:rPr>
          <w:rFonts w:ascii="Calibri" w:hAnsi="Calibri"/>
          <w:sz w:val="22"/>
        </w:rPr>
      </w:pPr>
      <w:r w:rsidRPr="00EE1FC8">
        <w:rPr>
          <w:b/>
        </w:rPr>
        <w:t>Main equipment</w:t>
      </w:r>
      <w:r w:rsidRPr="00EE1FC8">
        <w:t xml:space="preserve">: monitors, ventilators, defibrillators, centralised monitoring, sterilizers. </w:t>
      </w:r>
    </w:p>
    <w:p w14:paraId="1BD4A218" w14:textId="77777777" w:rsidR="00703FDE" w:rsidRPr="00EE1FC8" w:rsidRDefault="00703FDE" w:rsidP="00F2182F"/>
    <w:p w14:paraId="6D38F02D" w14:textId="5932EFD8" w:rsidR="00B6055F" w:rsidRPr="00EE1FC8" w:rsidRDefault="00B6055F" w:rsidP="00F2182F">
      <w:r w:rsidRPr="00EE1FC8">
        <w:t xml:space="preserve">The </w:t>
      </w:r>
      <w:r w:rsidR="00703FDE" w:rsidRPr="00EE1FC8">
        <w:t xml:space="preserve">above </w:t>
      </w:r>
      <w:r w:rsidRPr="00EE1FC8">
        <w:t xml:space="preserve">two points could be needed as back up in main hospitals or major referral hospitals (or at the civil protection </w:t>
      </w:r>
      <w:proofErr w:type="gramStart"/>
      <w:r w:rsidRPr="00EE1FC8">
        <w:t>ware houses</w:t>
      </w:r>
      <w:proofErr w:type="gramEnd"/>
      <w:r w:rsidRPr="00EE1FC8">
        <w:t>) for crisis situation.</w:t>
      </w:r>
    </w:p>
    <w:p w14:paraId="3C62EFAD" w14:textId="77777777" w:rsidR="00B6055F" w:rsidRPr="00EE1FC8" w:rsidRDefault="00B6055F" w:rsidP="00F2182F"/>
    <w:p w14:paraId="6DC06B6E" w14:textId="77777777" w:rsidR="00D32059" w:rsidRPr="00EE1FC8" w:rsidRDefault="00D32059" w:rsidP="00F2182F">
      <w:pPr>
        <w:ind w:left="360"/>
      </w:pPr>
    </w:p>
    <w:p w14:paraId="09E650E7" w14:textId="03FD3C11" w:rsidR="00D32059" w:rsidRPr="00EE1FC8" w:rsidRDefault="00553393" w:rsidP="00F2182F">
      <w:pPr>
        <w:rPr>
          <w:b/>
        </w:rPr>
      </w:pPr>
      <w:r w:rsidRPr="00EE1FC8">
        <w:rPr>
          <w:b/>
        </w:rPr>
        <w:t xml:space="preserve">Support </w:t>
      </w:r>
      <w:r w:rsidR="00D32059" w:rsidRPr="00EE1FC8">
        <w:rPr>
          <w:b/>
        </w:rPr>
        <w:t>service</w:t>
      </w:r>
      <w:r w:rsidRPr="00EE1FC8">
        <w:rPr>
          <w:b/>
        </w:rPr>
        <w:t>s</w:t>
      </w:r>
      <w:r w:rsidR="00D32059" w:rsidRPr="00EE1FC8">
        <w:rPr>
          <w:b/>
        </w:rPr>
        <w:t xml:space="preserve">: </w:t>
      </w:r>
    </w:p>
    <w:p w14:paraId="1F5EF97A" w14:textId="77777777" w:rsidR="00F2182F" w:rsidRPr="00EE1FC8" w:rsidRDefault="00F2182F" w:rsidP="00F2182F">
      <w:pPr>
        <w:rPr>
          <w:b/>
        </w:rPr>
      </w:pPr>
    </w:p>
    <w:p w14:paraId="63BA5DCC" w14:textId="19957093" w:rsidR="00D32059" w:rsidRPr="00EE1FC8" w:rsidRDefault="00D32059" w:rsidP="00F2182F">
      <w:pPr>
        <w:pStyle w:val="ListParagraph"/>
        <w:numPr>
          <w:ilvl w:val="0"/>
          <w:numId w:val="8"/>
        </w:numPr>
      </w:pPr>
      <w:r w:rsidRPr="00EE1FC8">
        <w:t>High speed logistics to deliver and install new equipment, emergency centres (container units etc</w:t>
      </w:r>
      <w:r w:rsidR="00CD1EEE" w:rsidRPr="00EE1FC8">
        <w:t>.</w:t>
      </w:r>
      <w:r w:rsidRPr="00EE1FC8">
        <w:t xml:space="preserve">) hospitals and deliver supplies, and </w:t>
      </w:r>
    </w:p>
    <w:p w14:paraId="150C742C" w14:textId="77777777" w:rsidR="00F2182F" w:rsidRPr="00EE1FC8" w:rsidRDefault="00F2182F" w:rsidP="00F2182F">
      <w:pPr>
        <w:pStyle w:val="ListParagraph"/>
      </w:pPr>
    </w:p>
    <w:p w14:paraId="7FAD3791" w14:textId="69006924" w:rsidR="00D32059" w:rsidRPr="00EE1FC8" w:rsidRDefault="00F2182F" w:rsidP="00F2182F">
      <w:pPr>
        <w:pStyle w:val="ListParagraph"/>
        <w:numPr>
          <w:ilvl w:val="0"/>
          <w:numId w:val="8"/>
        </w:numPr>
      </w:pPr>
      <w:r w:rsidRPr="00EE1FC8">
        <w:t>M</w:t>
      </w:r>
      <w:r w:rsidR="00D32059" w:rsidRPr="00EE1FC8">
        <w:t>aintenance / repair of equipment - set up mobile teams to do emergency repairs and ensure spare parts supply for equipment in use</w:t>
      </w:r>
    </w:p>
    <w:p w14:paraId="4FCE8BB4" w14:textId="58BB1179" w:rsidR="00F2182F" w:rsidRPr="00EE1FC8" w:rsidRDefault="00F2182F" w:rsidP="00F2182F"/>
    <w:p w14:paraId="3339BB6D" w14:textId="1C09575C" w:rsidR="00B6055F" w:rsidRPr="00EE1FC8" w:rsidRDefault="00F2182F" w:rsidP="00F2182F">
      <w:pPr>
        <w:pStyle w:val="ListParagraph"/>
        <w:numPr>
          <w:ilvl w:val="0"/>
          <w:numId w:val="8"/>
        </w:numPr>
      </w:pPr>
      <w:r w:rsidRPr="00EE1FC8">
        <w:t>I</w:t>
      </w:r>
      <w:r w:rsidR="00B6055F" w:rsidRPr="00EE1FC8">
        <w:t>nfrastructure and equipment</w:t>
      </w:r>
      <w:r w:rsidR="007C6952" w:rsidRPr="00EE1FC8">
        <w:t xml:space="preserve"> available, current delivery capacity to be checked </w:t>
      </w:r>
    </w:p>
    <w:p w14:paraId="48D800EA" w14:textId="47D0A1A9" w:rsidR="003670A9" w:rsidRPr="00EE1FC8" w:rsidRDefault="003670A9" w:rsidP="00F2182F"/>
    <w:p w14:paraId="29D6BAA5" w14:textId="24F61219" w:rsidR="00291E2C" w:rsidRPr="00EE1FC8" w:rsidRDefault="00553393" w:rsidP="00F2182F">
      <w:pPr>
        <w:rPr>
          <w:b/>
        </w:rPr>
      </w:pPr>
      <w:r w:rsidRPr="00EE1FC8">
        <w:rPr>
          <w:b/>
        </w:rPr>
        <w:t>R</w:t>
      </w:r>
      <w:r w:rsidR="00291E2C" w:rsidRPr="00EE1FC8">
        <w:rPr>
          <w:b/>
        </w:rPr>
        <w:t>esearch activities focused on SARS-CoV-2 (fundamental and applied research: virus structure, vaccines, drugs) or COVID-19 (diagnostic and treatment strategy, disease management):</w:t>
      </w:r>
    </w:p>
    <w:p w14:paraId="1E5D4A2F" w14:textId="77777777" w:rsidR="00291E2C" w:rsidRPr="00EE1FC8" w:rsidRDefault="00291E2C" w:rsidP="00F2182F"/>
    <w:p w14:paraId="64A0C946" w14:textId="2D692131" w:rsidR="00BD1C14" w:rsidRPr="00EE1FC8" w:rsidRDefault="00BD1C14" w:rsidP="00F2182F">
      <w:pPr>
        <w:pStyle w:val="ListParagraph"/>
        <w:numPr>
          <w:ilvl w:val="0"/>
          <w:numId w:val="8"/>
        </w:numPr>
      </w:pPr>
      <w:r w:rsidRPr="00EE1FC8">
        <w:t>Research equipment and consumables</w:t>
      </w:r>
    </w:p>
    <w:p w14:paraId="352B1431" w14:textId="77777777" w:rsidR="00F2182F" w:rsidRPr="00EE1FC8" w:rsidRDefault="00F2182F" w:rsidP="00F2182F">
      <w:pPr>
        <w:pStyle w:val="ListParagraph"/>
      </w:pPr>
    </w:p>
    <w:p w14:paraId="666D546F" w14:textId="4B106555" w:rsidR="00BD1C14" w:rsidRPr="00EE1FC8" w:rsidRDefault="00BD1C14" w:rsidP="00F2182F">
      <w:pPr>
        <w:pStyle w:val="ListParagraph"/>
        <w:numPr>
          <w:ilvl w:val="0"/>
          <w:numId w:val="8"/>
        </w:numPr>
      </w:pPr>
      <w:r w:rsidRPr="00EE1FC8">
        <w:t xml:space="preserve">Cost of research activities including </w:t>
      </w:r>
      <w:r w:rsidR="00F2182F" w:rsidRPr="00EE1FC8">
        <w:t>researchers remuneration</w:t>
      </w:r>
    </w:p>
    <w:p w14:paraId="4F0C50DC" w14:textId="05D949D8" w:rsidR="00F2182F" w:rsidRPr="00EE1FC8" w:rsidRDefault="00F2182F" w:rsidP="00F2182F"/>
    <w:p w14:paraId="0B4D222F" w14:textId="77777777" w:rsidR="00BD1C14" w:rsidRPr="00EE1FC8" w:rsidRDefault="00BD1C14" w:rsidP="00F2182F">
      <w:pPr>
        <w:pStyle w:val="ListParagraph"/>
        <w:numPr>
          <w:ilvl w:val="0"/>
          <w:numId w:val="8"/>
        </w:numPr>
      </w:pPr>
      <w:r w:rsidRPr="00EE1FC8">
        <w:lastRenderedPageBreak/>
        <w:t>ICT equipment, including software and hardware (data bases) and data analyses cost (remuneration of data scientists, purchase of computational power)</w:t>
      </w:r>
    </w:p>
    <w:p w14:paraId="2FE8EC1A" w14:textId="15B66E66" w:rsidR="00CD1EEE" w:rsidRPr="00EE1FC8" w:rsidRDefault="00CD1EEE" w:rsidP="00F2182F"/>
    <w:p w14:paraId="12B60770" w14:textId="77777777" w:rsidR="00CD1EEE" w:rsidRPr="00EE1FC8" w:rsidRDefault="00CD1EEE" w:rsidP="00F2182F"/>
    <w:sectPr w:rsidR="00CD1EEE" w:rsidRPr="00EE1FC8" w:rsidSect="00A4500B">
      <w:pgSz w:w="11906" w:h="16838"/>
      <w:pgMar w:top="1418"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70ABC"/>
    <w:multiLevelType w:val="hybridMultilevel"/>
    <w:tmpl w:val="F5D48E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EF7EC6"/>
    <w:multiLevelType w:val="hybridMultilevel"/>
    <w:tmpl w:val="5AF27BBC"/>
    <w:lvl w:ilvl="0" w:tplc="17BA9902">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C1D410A"/>
    <w:multiLevelType w:val="hybridMultilevel"/>
    <w:tmpl w:val="98CC6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A5221D"/>
    <w:multiLevelType w:val="hybridMultilevel"/>
    <w:tmpl w:val="DB587A9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FEE27F7"/>
    <w:multiLevelType w:val="hybridMultilevel"/>
    <w:tmpl w:val="2CC87858"/>
    <w:lvl w:ilvl="0" w:tplc="76B0B90A">
      <w:numFmt w:val="bullet"/>
      <w:lvlText w:val="-"/>
      <w:lvlJc w:val="left"/>
      <w:pPr>
        <w:ind w:left="360" w:hanging="360"/>
      </w:pPr>
      <w:rPr>
        <w:rFonts w:ascii="Calibri" w:eastAsiaTheme="minorHAnsi" w:hAnsi="Calibri" w:cs="Calibr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A135D84"/>
    <w:multiLevelType w:val="hybridMultilevel"/>
    <w:tmpl w:val="7F1AAB86"/>
    <w:lvl w:ilvl="0" w:tplc="AEAC681C">
      <w:numFmt w:val="bullet"/>
      <w:lvlText w:val="-"/>
      <w:lvlJc w:val="left"/>
      <w:pPr>
        <w:ind w:left="720" w:hanging="360"/>
      </w:pPr>
      <w:rPr>
        <w:rFonts w:ascii="Arial" w:eastAsia="Times New Roman" w:hAnsi="Arial" w:cs="Aria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A05A53"/>
    <w:multiLevelType w:val="hybridMultilevel"/>
    <w:tmpl w:val="05D05574"/>
    <w:lvl w:ilvl="0" w:tplc="952C4B9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0A7C66"/>
    <w:multiLevelType w:val="hybridMultilevel"/>
    <w:tmpl w:val="5F48B8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D3656CA"/>
    <w:multiLevelType w:val="hybridMultilevel"/>
    <w:tmpl w:val="CCC66002"/>
    <w:lvl w:ilvl="0" w:tplc="C0D4FC3A">
      <w:numFmt w:val="bullet"/>
      <w:lvlText w:val="-"/>
      <w:lvlJc w:val="left"/>
      <w:pPr>
        <w:ind w:left="1080" w:hanging="1080"/>
      </w:pPr>
      <w:rPr>
        <w:rFonts w:ascii="Arial" w:eastAsia="Times New Roman" w:hAnsi="Arial"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710094"/>
    <w:multiLevelType w:val="hybridMultilevel"/>
    <w:tmpl w:val="987662B6"/>
    <w:lvl w:ilvl="0" w:tplc="952C4B9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53053BEF"/>
    <w:multiLevelType w:val="hybridMultilevel"/>
    <w:tmpl w:val="E63C3A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3440FE1"/>
    <w:multiLevelType w:val="hybridMultilevel"/>
    <w:tmpl w:val="46C8DC66"/>
    <w:lvl w:ilvl="0" w:tplc="19E6D7C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7D30323"/>
    <w:multiLevelType w:val="multilevel"/>
    <w:tmpl w:val="F0EE9F40"/>
    <w:lvl w:ilvl="0">
      <w:start w:val="2"/>
      <w:numFmt w:val="decimal"/>
      <w:lvlText w:val="%1"/>
      <w:lvlJc w:val="left"/>
      <w:pPr>
        <w:ind w:left="540" w:hanging="540"/>
      </w:pPr>
      <w:rPr>
        <w:rFonts w:ascii="Arial" w:hAnsi="Arial" w:hint="default"/>
        <w:b/>
        <w:sz w:val="24"/>
      </w:rPr>
    </w:lvl>
    <w:lvl w:ilvl="1">
      <w:start w:val="3"/>
      <w:numFmt w:val="decimal"/>
      <w:lvlText w:val="%1.%2"/>
      <w:lvlJc w:val="left"/>
      <w:pPr>
        <w:ind w:left="540" w:hanging="540"/>
      </w:pPr>
      <w:rPr>
        <w:rFonts w:ascii="Arial" w:hAnsi="Arial" w:hint="default"/>
        <w:b/>
        <w:sz w:val="24"/>
      </w:rPr>
    </w:lvl>
    <w:lvl w:ilvl="2">
      <w:start w:val="1"/>
      <w:numFmt w:val="decimal"/>
      <w:lvlText w:val="%1.%2.%3"/>
      <w:lvlJc w:val="left"/>
      <w:pPr>
        <w:ind w:left="720" w:hanging="720"/>
      </w:pPr>
      <w:rPr>
        <w:rFonts w:ascii="Arial" w:hAnsi="Arial" w:hint="default"/>
        <w:b/>
        <w:sz w:val="24"/>
      </w:rPr>
    </w:lvl>
    <w:lvl w:ilvl="3">
      <w:start w:val="1"/>
      <w:numFmt w:val="decimal"/>
      <w:lvlText w:val="%1.%2.%3.%4"/>
      <w:lvlJc w:val="left"/>
      <w:pPr>
        <w:ind w:left="720" w:hanging="720"/>
      </w:pPr>
      <w:rPr>
        <w:rFonts w:ascii="Arial" w:hAnsi="Arial" w:hint="default"/>
        <w:b/>
        <w:sz w:val="24"/>
      </w:rPr>
    </w:lvl>
    <w:lvl w:ilvl="4">
      <w:start w:val="1"/>
      <w:numFmt w:val="decimal"/>
      <w:lvlText w:val="%1.%2.%3.%4.%5"/>
      <w:lvlJc w:val="left"/>
      <w:pPr>
        <w:ind w:left="1080" w:hanging="1080"/>
      </w:pPr>
      <w:rPr>
        <w:rFonts w:ascii="Arial" w:hAnsi="Arial" w:hint="default"/>
        <w:b/>
        <w:sz w:val="24"/>
      </w:rPr>
    </w:lvl>
    <w:lvl w:ilvl="5">
      <w:start w:val="1"/>
      <w:numFmt w:val="decimal"/>
      <w:lvlText w:val="%1.%2.%3.%4.%5.%6"/>
      <w:lvlJc w:val="left"/>
      <w:pPr>
        <w:ind w:left="1080" w:hanging="1080"/>
      </w:pPr>
      <w:rPr>
        <w:rFonts w:ascii="Arial" w:hAnsi="Arial" w:hint="default"/>
        <w:b/>
        <w:sz w:val="24"/>
      </w:rPr>
    </w:lvl>
    <w:lvl w:ilvl="6">
      <w:start w:val="1"/>
      <w:numFmt w:val="decimal"/>
      <w:lvlText w:val="%1.%2.%3.%4.%5.%6.%7"/>
      <w:lvlJc w:val="left"/>
      <w:pPr>
        <w:ind w:left="1440" w:hanging="1440"/>
      </w:pPr>
      <w:rPr>
        <w:rFonts w:ascii="Arial" w:hAnsi="Arial" w:hint="default"/>
        <w:b/>
        <w:sz w:val="24"/>
      </w:rPr>
    </w:lvl>
    <w:lvl w:ilvl="7">
      <w:start w:val="1"/>
      <w:numFmt w:val="decimal"/>
      <w:lvlText w:val="%1.%2.%3.%4.%5.%6.%7.%8"/>
      <w:lvlJc w:val="left"/>
      <w:pPr>
        <w:ind w:left="1440" w:hanging="1440"/>
      </w:pPr>
      <w:rPr>
        <w:rFonts w:ascii="Arial" w:hAnsi="Arial" w:hint="default"/>
        <w:b/>
        <w:sz w:val="24"/>
      </w:rPr>
    </w:lvl>
    <w:lvl w:ilvl="8">
      <w:start w:val="1"/>
      <w:numFmt w:val="decimal"/>
      <w:lvlText w:val="%1.%2.%3.%4.%5.%6.%7.%8.%9"/>
      <w:lvlJc w:val="left"/>
      <w:pPr>
        <w:ind w:left="1440" w:hanging="1440"/>
      </w:pPr>
      <w:rPr>
        <w:rFonts w:ascii="Arial" w:hAnsi="Arial" w:hint="default"/>
        <w:b/>
        <w:sz w:val="24"/>
      </w:rPr>
    </w:lvl>
  </w:abstractNum>
  <w:abstractNum w:abstractNumId="13" w15:restartNumberingAfterBreak="0">
    <w:nsid w:val="615254A0"/>
    <w:multiLevelType w:val="hybridMultilevel"/>
    <w:tmpl w:val="254417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251C07"/>
    <w:multiLevelType w:val="hybridMultilevel"/>
    <w:tmpl w:val="C1BCE356"/>
    <w:lvl w:ilvl="0" w:tplc="952C4B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664468"/>
    <w:multiLevelType w:val="multilevel"/>
    <w:tmpl w:val="A5CAA5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66202C70"/>
    <w:multiLevelType w:val="hybridMultilevel"/>
    <w:tmpl w:val="998ADEE8"/>
    <w:lvl w:ilvl="0" w:tplc="8544FAD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B4C0262"/>
    <w:multiLevelType w:val="hybridMultilevel"/>
    <w:tmpl w:val="5AA27FD4"/>
    <w:lvl w:ilvl="0" w:tplc="C0D4FC3A">
      <w:numFmt w:val="bullet"/>
      <w:lvlText w:val="-"/>
      <w:lvlJc w:val="left"/>
      <w:pPr>
        <w:ind w:left="1080" w:hanging="1080"/>
      </w:pPr>
      <w:rPr>
        <w:rFonts w:ascii="Arial" w:eastAsia="Times New Roman" w:hAnsi="Arial" w:cs="Times New Roman" w:hint="default"/>
      </w:rPr>
    </w:lvl>
    <w:lvl w:ilvl="1" w:tplc="08090003">
      <w:start w:val="1"/>
      <w:numFmt w:val="bullet"/>
      <w:lvlText w:val="o"/>
      <w:lvlJc w:val="left"/>
      <w:pPr>
        <w:ind w:left="720" w:hanging="360"/>
      </w:pPr>
      <w:rPr>
        <w:rFonts w:ascii="Courier New" w:hAnsi="Courier New" w:cs="Courier New" w:hint="default"/>
      </w:rPr>
    </w:lvl>
    <w:lvl w:ilvl="2" w:tplc="08090005">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8" w15:restartNumberingAfterBreak="0">
    <w:nsid w:val="6C4724DC"/>
    <w:multiLevelType w:val="hybridMultilevel"/>
    <w:tmpl w:val="AB40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E490494"/>
    <w:multiLevelType w:val="hybridMultilevel"/>
    <w:tmpl w:val="AADC2FF8"/>
    <w:lvl w:ilvl="0" w:tplc="952C4B9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17"/>
  </w:num>
  <w:num w:numId="5">
    <w:abstractNumId w:val="6"/>
  </w:num>
  <w:num w:numId="6">
    <w:abstractNumId w:val="3"/>
  </w:num>
  <w:num w:numId="7">
    <w:abstractNumId w:val="10"/>
  </w:num>
  <w:num w:numId="8">
    <w:abstractNumId w:val="1"/>
  </w:num>
  <w:num w:numId="9">
    <w:abstractNumId w:val="7"/>
  </w:num>
  <w:num w:numId="10">
    <w:abstractNumId w:val="13"/>
  </w:num>
  <w:num w:numId="11">
    <w:abstractNumId w:val="11"/>
  </w:num>
  <w:num w:numId="12">
    <w:abstractNumId w:val="2"/>
  </w:num>
  <w:num w:numId="13">
    <w:abstractNumId w:val="16"/>
  </w:num>
  <w:num w:numId="14">
    <w:abstractNumId w:val="5"/>
  </w:num>
  <w:num w:numId="15">
    <w:abstractNumId w:val="18"/>
  </w:num>
  <w:num w:numId="16">
    <w:abstractNumId w:val="9"/>
  </w:num>
  <w:num w:numId="17">
    <w:abstractNumId w:val="15"/>
  </w:num>
  <w:num w:numId="18">
    <w:abstractNumId w:val="12"/>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503"/>
    <w:rsid w:val="00022899"/>
    <w:rsid w:val="00046C4D"/>
    <w:rsid w:val="00046EDA"/>
    <w:rsid w:val="00050B86"/>
    <w:rsid w:val="000C6ABB"/>
    <w:rsid w:val="00112BE9"/>
    <w:rsid w:val="00120B6F"/>
    <w:rsid w:val="001262B0"/>
    <w:rsid w:val="00132756"/>
    <w:rsid w:val="001539F6"/>
    <w:rsid w:val="00174B21"/>
    <w:rsid w:val="00186C66"/>
    <w:rsid w:val="001903FF"/>
    <w:rsid w:val="001A569E"/>
    <w:rsid w:val="001B4503"/>
    <w:rsid w:val="00263503"/>
    <w:rsid w:val="002708FF"/>
    <w:rsid w:val="00291E2C"/>
    <w:rsid w:val="002D5B46"/>
    <w:rsid w:val="002E4E2A"/>
    <w:rsid w:val="0031503C"/>
    <w:rsid w:val="00326E26"/>
    <w:rsid w:val="00334ED3"/>
    <w:rsid w:val="003469F5"/>
    <w:rsid w:val="003670A9"/>
    <w:rsid w:val="0037039C"/>
    <w:rsid w:val="003855A1"/>
    <w:rsid w:val="00387CCC"/>
    <w:rsid w:val="003A7A86"/>
    <w:rsid w:val="003C7093"/>
    <w:rsid w:val="003D649B"/>
    <w:rsid w:val="003E3431"/>
    <w:rsid w:val="00422F55"/>
    <w:rsid w:val="004501EB"/>
    <w:rsid w:val="00494F71"/>
    <w:rsid w:val="0049745F"/>
    <w:rsid w:val="004E1A6F"/>
    <w:rsid w:val="00531C1C"/>
    <w:rsid w:val="00540310"/>
    <w:rsid w:val="00553393"/>
    <w:rsid w:val="005554F8"/>
    <w:rsid w:val="005774CD"/>
    <w:rsid w:val="005C0FB9"/>
    <w:rsid w:val="005C2685"/>
    <w:rsid w:val="005D286D"/>
    <w:rsid w:val="005F0E3D"/>
    <w:rsid w:val="005F726C"/>
    <w:rsid w:val="006218B2"/>
    <w:rsid w:val="00670524"/>
    <w:rsid w:val="006779FE"/>
    <w:rsid w:val="006847C5"/>
    <w:rsid w:val="00694FC4"/>
    <w:rsid w:val="00695F4D"/>
    <w:rsid w:val="006B0A5A"/>
    <w:rsid w:val="006C37AE"/>
    <w:rsid w:val="006C5600"/>
    <w:rsid w:val="006D6002"/>
    <w:rsid w:val="006E4ACD"/>
    <w:rsid w:val="006E7442"/>
    <w:rsid w:val="006E767B"/>
    <w:rsid w:val="00703FDE"/>
    <w:rsid w:val="0071420E"/>
    <w:rsid w:val="00796D77"/>
    <w:rsid w:val="007B4254"/>
    <w:rsid w:val="007C6952"/>
    <w:rsid w:val="007E03A6"/>
    <w:rsid w:val="007E76F5"/>
    <w:rsid w:val="00825001"/>
    <w:rsid w:val="008413A5"/>
    <w:rsid w:val="00882312"/>
    <w:rsid w:val="00887486"/>
    <w:rsid w:val="0089677E"/>
    <w:rsid w:val="008C2AD4"/>
    <w:rsid w:val="008E2CB7"/>
    <w:rsid w:val="008E3458"/>
    <w:rsid w:val="00920F2A"/>
    <w:rsid w:val="0092451D"/>
    <w:rsid w:val="00926BB7"/>
    <w:rsid w:val="00972E21"/>
    <w:rsid w:val="0098559A"/>
    <w:rsid w:val="009B38BB"/>
    <w:rsid w:val="009F17FD"/>
    <w:rsid w:val="00A25199"/>
    <w:rsid w:val="00A4500B"/>
    <w:rsid w:val="00A91E8C"/>
    <w:rsid w:val="00A96F60"/>
    <w:rsid w:val="00AA3C2A"/>
    <w:rsid w:val="00AB2EF5"/>
    <w:rsid w:val="00AD2755"/>
    <w:rsid w:val="00B335B6"/>
    <w:rsid w:val="00B6055F"/>
    <w:rsid w:val="00BA2498"/>
    <w:rsid w:val="00BA337F"/>
    <w:rsid w:val="00BA58BF"/>
    <w:rsid w:val="00BC230E"/>
    <w:rsid w:val="00BD1C14"/>
    <w:rsid w:val="00BD7F13"/>
    <w:rsid w:val="00BE519B"/>
    <w:rsid w:val="00BE59A9"/>
    <w:rsid w:val="00C54820"/>
    <w:rsid w:val="00C75FDB"/>
    <w:rsid w:val="00C8655B"/>
    <w:rsid w:val="00CA1DF5"/>
    <w:rsid w:val="00CA7BF0"/>
    <w:rsid w:val="00CB4954"/>
    <w:rsid w:val="00CB594B"/>
    <w:rsid w:val="00CD1EEE"/>
    <w:rsid w:val="00D03347"/>
    <w:rsid w:val="00D32059"/>
    <w:rsid w:val="00D33B83"/>
    <w:rsid w:val="00D77597"/>
    <w:rsid w:val="00D80449"/>
    <w:rsid w:val="00DA7CF9"/>
    <w:rsid w:val="00DA7ECF"/>
    <w:rsid w:val="00DF1F52"/>
    <w:rsid w:val="00E00ABA"/>
    <w:rsid w:val="00E42F8C"/>
    <w:rsid w:val="00E80A15"/>
    <w:rsid w:val="00ED0AEE"/>
    <w:rsid w:val="00EE1FC8"/>
    <w:rsid w:val="00F2182F"/>
    <w:rsid w:val="00F569C3"/>
    <w:rsid w:val="00F65FBD"/>
    <w:rsid w:val="00F714B9"/>
    <w:rsid w:val="00F72098"/>
    <w:rsid w:val="00F771A7"/>
    <w:rsid w:val="00F84887"/>
    <w:rsid w:val="00F9076D"/>
    <w:rsid w:val="00FC123B"/>
    <w:rsid w:val="00FD16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DB3FB"/>
  <w15:chartTrackingRefBased/>
  <w15:docId w15:val="{082E3D0D-CFF9-40E4-BB53-6A9979492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4503"/>
    <w:pPr>
      <w:spacing w:after="0" w:line="240" w:lineRule="auto"/>
      <w:jc w:val="both"/>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B4503"/>
    <w:pPr>
      <w:spacing w:before="120" w:after="0" w:line="120" w:lineRule="atLeast"/>
      <w:jc w:val="both"/>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4503"/>
    <w:pPr>
      <w:ind w:left="720"/>
    </w:pPr>
  </w:style>
  <w:style w:type="character" w:styleId="Hyperlink">
    <w:name w:val="Hyperlink"/>
    <w:basedOn w:val="DefaultParagraphFont"/>
    <w:uiPriority w:val="99"/>
    <w:unhideWhenUsed/>
    <w:rsid w:val="001B4503"/>
    <w:rPr>
      <w:color w:val="0000FF" w:themeColor="hyperlink"/>
      <w:u w:val="single"/>
    </w:rPr>
  </w:style>
  <w:style w:type="paragraph" w:styleId="BalloonText">
    <w:name w:val="Balloon Text"/>
    <w:basedOn w:val="Normal"/>
    <w:link w:val="BalloonTextChar"/>
    <w:uiPriority w:val="99"/>
    <w:semiHidden/>
    <w:unhideWhenUsed/>
    <w:rsid w:val="006B0A5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0A5A"/>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B0A5A"/>
    <w:rPr>
      <w:sz w:val="16"/>
      <w:szCs w:val="16"/>
    </w:rPr>
  </w:style>
  <w:style w:type="paragraph" w:styleId="CommentText">
    <w:name w:val="annotation text"/>
    <w:basedOn w:val="Normal"/>
    <w:link w:val="CommentTextChar"/>
    <w:uiPriority w:val="99"/>
    <w:semiHidden/>
    <w:unhideWhenUsed/>
    <w:rsid w:val="006B0A5A"/>
    <w:rPr>
      <w:sz w:val="20"/>
    </w:rPr>
  </w:style>
  <w:style w:type="character" w:customStyle="1" w:styleId="CommentTextChar">
    <w:name w:val="Comment Text Char"/>
    <w:basedOn w:val="DefaultParagraphFont"/>
    <w:link w:val="CommentText"/>
    <w:uiPriority w:val="99"/>
    <w:semiHidden/>
    <w:rsid w:val="006B0A5A"/>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6B0A5A"/>
    <w:rPr>
      <w:b/>
      <w:bCs/>
    </w:rPr>
  </w:style>
  <w:style w:type="character" w:customStyle="1" w:styleId="CommentSubjectChar">
    <w:name w:val="Comment Subject Char"/>
    <w:basedOn w:val="CommentTextChar"/>
    <w:link w:val="CommentSubject"/>
    <w:uiPriority w:val="99"/>
    <w:semiHidden/>
    <w:rsid w:val="006B0A5A"/>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68391">
      <w:bodyDiv w:val="1"/>
      <w:marLeft w:val="0"/>
      <w:marRight w:val="0"/>
      <w:marTop w:val="0"/>
      <w:marBottom w:val="0"/>
      <w:divBdr>
        <w:top w:val="none" w:sz="0" w:space="0" w:color="auto"/>
        <w:left w:val="none" w:sz="0" w:space="0" w:color="auto"/>
        <w:bottom w:val="none" w:sz="0" w:space="0" w:color="auto"/>
        <w:right w:val="none" w:sz="0" w:space="0" w:color="auto"/>
      </w:divBdr>
    </w:div>
    <w:div w:id="928856560">
      <w:bodyDiv w:val="1"/>
      <w:marLeft w:val="0"/>
      <w:marRight w:val="0"/>
      <w:marTop w:val="0"/>
      <w:marBottom w:val="0"/>
      <w:divBdr>
        <w:top w:val="none" w:sz="0" w:space="0" w:color="auto"/>
        <w:left w:val="none" w:sz="0" w:space="0" w:color="auto"/>
        <w:bottom w:val="none" w:sz="0" w:space="0" w:color="auto"/>
        <w:right w:val="none" w:sz="0" w:space="0" w:color="auto"/>
      </w:divBdr>
    </w:div>
    <w:div w:id="1332683597">
      <w:bodyDiv w:val="1"/>
      <w:marLeft w:val="0"/>
      <w:marRight w:val="0"/>
      <w:marTop w:val="0"/>
      <w:marBottom w:val="0"/>
      <w:divBdr>
        <w:top w:val="none" w:sz="0" w:space="0" w:color="auto"/>
        <w:left w:val="none" w:sz="0" w:space="0" w:color="auto"/>
        <w:bottom w:val="none" w:sz="0" w:space="0" w:color="auto"/>
        <w:right w:val="none" w:sz="0" w:space="0" w:color="auto"/>
      </w:divBdr>
    </w:div>
    <w:div w:id="1569266120">
      <w:bodyDiv w:val="1"/>
      <w:marLeft w:val="0"/>
      <w:marRight w:val="0"/>
      <w:marTop w:val="0"/>
      <w:marBottom w:val="0"/>
      <w:divBdr>
        <w:top w:val="none" w:sz="0" w:space="0" w:color="auto"/>
        <w:left w:val="none" w:sz="0" w:space="0" w:color="auto"/>
        <w:bottom w:val="none" w:sz="0" w:space="0" w:color="auto"/>
        <w:right w:val="none" w:sz="0" w:space="0" w:color="auto"/>
      </w:divBdr>
    </w:div>
    <w:div w:id="177092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1035</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European Investment Bank</Company>
  <LinksUpToDate>false</LinksUpToDate>
  <CharactersWithSpaces>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PIOVESAN Laura</dc:creator>
  <cp:keywords/>
  <dc:description/>
  <cp:lastModifiedBy>SEEJORE Jatin</cp:lastModifiedBy>
  <cp:revision>2</cp:revision>
  <dcterms:created xsi:type="dcterms:W3CDTF">2020-10-07T15:02:00Z</dcterms:created>
  <dcterms:modified xsi:type="dcterms:W3CDTF">2020-10-07T15:02:00Z</dcterms:modified>
</cp:coreProperties>
</file>